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89F9FA" w14:textId="2D08C85D" w:rsidR="5E63B614" w:rsidRPr="00A658EA" w:rsidRDefault="42E0D32A" w:rsidP="42E0D32A">
      <w:pPr>
        <w:rPr>
          <w:i/>
          <w:iCs/>
          <w:color w:val="000000" w:themeColor="text1"/>
        </w:rPr>
      </w:pPr>
      <w:r w:rsidRPr="42E0D32A">
        <w:rPr>
          <w:i/>
          <w:iCs/>
          <w:color w:val="000000" w:themeColor="text1"/>
          <w:highlight w:val="yellow"/>
        </w:rPr>
        <w:t>PLEASE READ</w:t>
      </w:r>
      <w:r w:rsidRPr="42E0D32A">
        <w:rPr>
          <w:i/>
          <w:iCs/>
          <w:color w:val="000000" w:themeColor="text1"/>
        </w:rPr>
        <w:t xml:space="preserve">: Peninsula Clean Energy and Silicon Valley Clean Energy have developed this model for </w:t>
      </w:r>
      <w:proofErr w:type="spellStart"/>
      <w:r w:rsidRPr="42E0D32A">
        <w:rPr>
          <w:i/>
          <w:iCs/>
          <w:color w:val="000000" w:themeColor="text1"/>
        </w:rPr>
        <w:t>CALGreen</w:t>
      </w:r>
      <w:proofErr w:type="spellEnd"/>
      <w:r w:rsidRPr="42E0D32A">
        <w:rPr>
          <w:i/>
          <w:iCs/>
          <w:color w:val="000000" w:themeColor="text1"/>
        </w:rPr>
        <w:t xml:space="preserve"> code amendments. Amendments to the base code are </w:t>
      </w:r>
      <w:r w:rsidRPr="42E0D32A">
        <w:rPr>
          <w:i/>
          <w:iCs/>
          <w:color w:val="000000" w:themeColor="text1"/>
          <w:u w:val="single"/>
        </w:rPr>
        <w:t>underlined</w:t>
      </w:r>
      <w:r w:rsidRPr="42E0D32A">
        <w:rPr>
          <w:i/>
          <w:iCs/>
          <w:color w:val="000000" w:themeColor="text1"/>
        </w:rPr>
        <w:t xml:space="preserve"> for additions or </w:t>
      </w:r>
      <w:proofErr w:type="gramStart"/>
      <w:r w:rsidRPr="42E0D32A">
        <w:rPr>
          <w:i/>
          <w:iCs/>
          <w:strike/>
          <w:color w:val="000000" w:themeColor="text1"/>
        </w:rPr>
        <w:t>stricken-through</w:t>
      </w:r>
      <w:proofErr w:type="gramEnd"/>
      <w:r w:rsidRPr="42E0D32A">
        <w:rPr>
          <w:i/>
          <w:iCs/>
          <w:color w:val="000000" w:themeColor="text1"/>
        </w:rPr>
        <w:t xml:space="preserve"> for deletions. </w:t>
      </w:r>
    </w:p>
    <w:p w14:paraId="72E5E85D" w14:textId="1A6631A3" w:rsidR="5E63B614" w:rsidRPr="00A658EA" w:rsidRDefault="5E63B614" w:rsidP="42E0D32A">
      <w:pPr>
        <w:rPr>
          <w:i/>
          <w:iCs/>
          <w:color w:val="000000" w:themeColor="text1"/>
        </w:rPr>
      </w:pPr>
    </w:p>
    <w:p w14:paraId="0EAAD819" w14:textId="73C6374E" w:rsidR="5E63B614" w:rsidRPr="0056728C" w:rsidRDefault="42E0D32A" w:rsidP="42E0D32A">
      <w:pPr>
        <w:rPr>
          <w:i/>
          <w:iCs/>
          <w:color w:val="000000" w:themeColor="text1"/>
        </w:rPr>
      </w:pPr>
      <w:r w:rsidRPr="42E0D32A">
        <w:rPr>
          <w:i/>
          <w:iCs/>
          <w:color w:val="000000" w:themeColor="text1"/>
        </w:rPr>
        <w:t xml:space="preserve">Where cities adopt </w:t>
      </w:r>
      <w:proofErr w:type="spellStart"/>
      <w:r w:rsidRPr="42E0D32A">
        <w:rPr>
          <w:i/>
          <w:iCs/>
          <w:color w:val="000000" w:themeColor="text1"/>
        </w:rPr>
        <w:t>CALGreen</w:t>
      </w:r>
      <w:proofErr w:type="spellEnd"/>
      <w:r w:rsidRPr="42E0D32A">
        <w:rPr>
          <w:i/>
          <w:iCs/>
          <w:color w:val="000000" w:themeColor="text1"/>
        </w:rPr>
        <w:t xml:space="preserve"> EV Code amendments, PCE and SVCE recommend this statement </w:t>
      </w:r>
      <w:proofErr w:type="gramStart"/>
      <w:r w:rsidRPr="42E0D32A">
        <w:rPr>
          <w:i/>
          <w:iCs/>
          <w:color w:val="000000" w:themeColor="text1"/>
        </w:rPr>
        <w:t>be included</w:t>
      </w:r>
      <w:proofErr w:type="gramEnd"/>
      <w:r w:rsidRPr="42E0D32A">
        <w:rPr>
          <w:i/>
          <w:iCs/>
          <w:color w:val="000000" w:themeColor="text1"/>
        </w:rPr>
        <w:t xml:space="preserve"> in the City Findings when adopting and ultimately filing with the Building Standards Commission: “The proposed Electric Vehicle Reach Code ensures that new buildings can charge a greater number of electric vehicles beyond state code requirements and reduce greenhouse gas emissions.”</w:t>
      </w:r>
    </w:p>
    <w:p w14:paraId="6C0F7303" w14:textId="56DBFD4C" w:rsidR="5E63B614" w:rsidRPr="0056728C" w:rsidRDefault="5E63B614" w:rsidP="42E0D32A">
      <w:pPr>
        <w:rPr>
          <w:i/>
          <w:iCs/>
          <w:color w:val="000000" w:themeColor="text1"/>
        </w:rPr>
      </w:pPr>
    </w:p>
    <w:p w14:paraId="0F71B0C6" w14:textId="195FF81C" w:rsidR="5E63B614" w:rsidRPr="0056728C" w:rsidRDefault="42E0D32A" w:rsidP="42E0D32A">
      <w:pPr>
        <w:rPr>
          <w:i/>
          <w:iCs/>
          <w:color w:val="000000" w:themeColor="text1"/>
        </w:rPr>
      </w:pPr>
      <w:r w:rsidRPr="42E0D32A">
        <w:rPr>
          <w:i/>
          <w:iCs/>
          <w:color w:val="000000" w:themeColor="text1"/>
        </w:rPr>
        <w:t>Immediately below is the revision history, and below that are the code revisions.</w:t>
      </w:r>
    </w:p>
    <w:p w14:paraId="38384AFF" w14:textId="28A8250B" w:rsidR="5E63B614" w:rsidRPr="0056728C" w:rsidRDefault="5E63B614" w:rsidP="42E0D32A">
      <w:pPr>
        <w:rPr>
          <w:i/>
          <w:iCs/>
          <w:color w:val="000000" w:themeColor="text1"/>
        </w:rPr>
      </w:pPr>
    </w:p>
    <w:p w14:paraId="5DF5393B" w14:textId="4ACAF5C7" w:rsidR="009D26A9" w:rsidRPr="0056728C" w:rsidRDefault="009D26A9" w:rsidP="42E0D32A">
      <w:pPr>
        <w:rPr>
          <w:b/>
          <w:bCs/>
          <w:u w:val="single"/>
        </w:rPr>
      </w:pPr>
    </w:p>
    <w:p w14:paraId="7D253AA3" w14:textId="4FA32AEF" w:rsidR="009D26A9" w:rsidRPr="0056728C" w:rsidRDefault="42E0D32A" w:rsidP="42E0D32A">
      <w:pPr>
        <w:rPr>
          <w:b/>
          <w:bCs/>
          <w:u w:val="single"/>
        </w:rPr>
      </w:pPr>
      <w:r w:rsidRPr="42E0D32A">
        <w:rPr>
          <w:b/>
          <w:bCs/>
          <w:u w:val="single"/>
        </w:rPr>
        <w:t xml:space="preserve">Revision History </w:t>
      </w:r>
    </w:p>
    <w:tbl>
      <w:tblPr>
        <w:tblStyle w:val="TableGrid"/>
        <w:tblW w:w="0" w:type="auto"/>
        <w:tblLook w:val="04A0" w:firstRow="1" w:lastRow="0" w:firstColumn="1" w:lastColumn="0" w:noHBand="0" w:noVBand="1"/>
      </w:tblPr>
      <w:tblGrid>
        <w:gridCol w:w="1525"/>
        <w:gridCol w:w="7825"/>
      </w:tblGrid>
      <w:tr w:rsidR="009D26A9" w:rsidRPr="0056728C" w14:paraId="74BC3404" w14:textId="77777777" w:rsidTr="5F8F02A4">
        <w:tc>
          <w:tcPr>
            <w:tcW w:w="1525" w:type="dxa"/>
            <w:tcBorders>
              <w:top w:val="single" w:sz="4" w:space="0" w:color="auto"/>
              <w:left w:val="single" w:sz="4" w:space="0" w:color="auto"/>
              <w:bottom w:val="single" w:sz="4" w:space="0" w:color="auto"/>
              <w:right w:val="single" w:sz="4" w:space="0" w:color="auto"/>
            </w:tcBorders>
            <w:hideMark/>
          </w:tcPr>
          <w:p w14:paraId="1847724F" w14:textId="77777777" w:rsidR="009D26A9" w:rsidRPr="0056728C" w:rsidRDefault="42E0D32A" w:rsidP="42E0D32A">
            <w:r w:rsidRPr="42E0D32A">
              <w:t>June 13, 2019</w:t>
            </w:r>
          </w:p>
        </w:tc>
        <w:tc>
          <w:tcPr>
            <w:tcW w:w="7825" w:type="dxa"/>
            <w:tcBorders>
              <w:top w:val="single" w:sz="4" w:space="0" w:color="auto"/>
              <w:left w:val="single" w:sz="4" w:space="0" w:color="auto"/>
              <w:bottom w:val="single" w:sz="4" w:space="0" w:color="auto"/>
              <w:right w:val="single" w:sz="4" w:space="0" w:color="auto"/>
            </w:tcBorders>
            <w:hideMark/>
          </w:tcPr>
          <w:p w14:paraId="07F8F42E" w14:textId="77777777" w:rsidR="009D26A9" w:rsidRPr="0056728C" w:rsidRDefault="42E0D32A" w:rsidP="42E0D32A">
            <w:r w:rsidRPr="42E0D32A">
              <w:t>Original version</w:t>
            </w:r>
          </w:p>
        </w:tc>
      </w:tr>
      <w:tr w:rsidR="009D26A9" w:rsidRPr="0056728C" w14:paraId="627B2ABB" w14:textId="77777777" w:rsidTr="5F8F02A4">
        <w:tc>
          <w:tcPr>
            <w:tcW w:w="1525" w:type="dxa"/>
            <w:tcBorders>
              <w:top w:val="single" w:sz="4" w:space="0" w:color="auto"/>
              <w:left w:val="single" w:sz="4" w:space="0" w:color="auto"/>
              <w:bottom w:val="single" w:sz="4" w:space="0" w:color="auto"/>
              <w:right w:val="single" w:sz="4" w:space="0" w:color="auto"/>
            </w:tcBorders>
            <w:hideMark/>
          </w:tcPr>
          <w:p w14:paraId="73247D34" w14:textId="77777777" w:rsidR="009D26A9" w:rsidRPr="0056728C" w:rsidRDefault="42E0D32A" w:rsidP="42E0D32A">
            <w:r w:rsidRPr="42E0D32A">
              <w:t>July 10, 2019</w:t>
            </w:r>
          </w:p>
        </w:tc>
        <w:tc>
          <w:tcPr>
            <w:tcW w:w="7825" w:type="dxa"/>
            <w:tcBorders>
              <w:top w:val="single" w:sz="4" w:space="0" w:color="auto"/>
              <w:left w:val="single" w:sz="4" w:space="0" w:color="auto"/>
              <w:bottom w:val="single" w:sz="4" w:space="0" w:color="auto"/>
              <w:right w:val="single" w:sz="4" w:space="0" w:color="auto"/>
            </w:tcBorders>
            <w:hideMark/>
          </w:tcPr>
          <w:p w14:paraId="59E4288D" w14:textId="157B38DA" w:rsidR="009D26A9" w:rsidRPr="0056728C" w:rsidRDefault="42E0D32A" w:rsidP="009D38ED">
            <w:pPr>
              <w:pStyle w:val="ListParagraph"/>
              <w:numPr>
                <w:ilvl w:val="0"/>
                <w:numId w:val="16"/>
              </w:numPr>
              <w:spacing w:line="256" w:lineRule="auto"/>
              <w:ind w:left="434"/>
              <w:rPr>
                <w:rFonts w:ascii="Times New Roman" w:eastAsia="Times New Roman" w:hAnsi="Times New Roman" w:cs="Times New Roman"/>
                <w:b/>
                <w:bCs/>
                <w:sz w:val="24"/>
                <w:szCs w:val="24"/>
              </w:rPr>
            </w:pPr>
            <w:r w:rsidRPr="42E0D32A">
              <w:rPr>
                <w:rFonts w:ascii="Times New Roman" w:eastAsia="Times New Roman" w:hAnsi="Times New Roman" w:cs="Times New Roman"/>
                <w:sz w:val="24"/>
                <w:szCs w:val="24"/>
              </w:rPr>
              <w:t xml:space="preserve">A $4,500 per dwelling unit parking space utility cost exemption threshold for multifamily dwellings </w:t>
            </w:r>
            <w:proofErr w:type="gramStart"/>
            <w:r w:rsidRPr="42E0D32A">
              <w:rPr>
                <w:rFonts w:ascii="Times New Roman" w:eastAsia="Times New Roman" w:hAnsi="Times New Roman" w:cs="Times New Roman"/>
                <w:sz w:val="24"/>
                <w:szCs w:val="24"/>
              </w:rPr>
              <w:t>was added</w:t>
            </w:r>
            <w:proofErr w:type="gramEnd"/>
            <w:r w:rsidRPr="42E0D32A">
              <w:rPr>
                <w:rFonts w:ascii="Times New Roman" w:eastAsia="Times New Roman" w:hAnsi="Times New Roman" w:cs="Times New Roman"/>
                <w:sz w:val="24"/>
                <w:szCs w:val="24"/>
              </w:rPr>
              <w:t xml:space="preserve"> to address the potential cost of the electric vehicle model reach code triggering additional on-site transformer(s) or utility service. This exemption is in alignment with the existing and proposed 2019 statewide </w:t>
            </w:r>
            <w:proofErr w:type="spellStart"/>
            <w:r w:rsidRPr="42E0D32A">
              <w:rPr>
                <w:rFonts w:ascii="Times New Roman" w:eastAsia="Times New Roman" w:hAnsi="Times New Roman" w:cs="Times New Roman"/>
                <w:sz w:val="24"/>
                <w:szCs w:val="24"/>
              </w:rPr>
              <w:t>CALGreen</w:t>
            </w:r>
            <w:proofErr w:type="spellEnd"/>
            <w:r w:rsidRPr="42E0D32A">
              <w:rPr>
                <w:rFonts w:ascii="Times New Roman" w:eastAsia="Times New Roman" w:hAnsi="Times New Roman" w:cs="Times New Roman"/>
                <w:sz w:val="24"/>
                <w:szCs w:val="24"/>
              </w:rPr>
              <w:t xml:space="preserve"> multifamily code (Part 11, Chapter 4, section 4.106.4).  </w:t>
            </w:r>
          </w:p>
          <w:p w14:paraId="20F4A262" w14:textId="77777777" w:rsidR="009D26A9" w:rsidRPr="0056728C" w:rsidRDefault="42E0D32A" w:rsidP="009D38ED">
            <w:pPr>
              <w:pStyle w:val="ListParagraph"/>
              <w:numPr>
                <w:ilvl w:val="0"/>
                <w:numId w:val="16"/>
              </w:numPr>
              <w:spacing w:line="256" w:lineRule="auto"/>
              <w:ind w:left="434"/>
              <w:rPr>
                <w:rFonts w:ascii="Times New Roman" w:eastAsia="Times New Roman" w:hAnsi="Times New Roman" w:cs="Times New Roman"/>
                <w:b/>
                <w:bCs/>
                <w:sz w:val="24"/>
                <w:szCs w:val="24"/>
              </w:rPr>
            </w:pPr>
            <w:r w:rsidRPr="42E0D32A">
              <w:rPr>
                <w:rFonts w:ascii="Times New Roman" w:eastAsia="Times New Roman" w:hAnsi="Times New Roman" w:cs="Times New Roman"/>
                <w:sz w:val="24"/>
                <w:szCs w:val="24"/>
              </w:rPr>
              <w:t xml:space="preserve">Minor clarification addressing construction documents in the definition of EV </w:t>
            </w:r>
            <w:proofErr w:type="gramStart"/>
            <w:r w:rsidRPr="42E0D32A">
              <w:rPr>
                <w:rFonts w:ascii="Times New Roman" w:eastAsia="Times New Roman" w:hAnsi="Times New Roman" w:cs="Times New Roman"/>
                <w:sz w:val="24"/>
                <w:szCs w:val="24"/>
              </w:rPr>
              <w:t>Capable;</w:t>
            </w:r>
            <w:proofErr w:type="gramEnd"/>
          </w:p>
          <w:p w14:paraId="6406586D" w14:textId="77777777" w:rsidR="009D26A9" w:rsidRPr="0056728C" w:rsidRDefault="42E0D32A" w:rsidP="009D38ED">
            <w:pPr>
              <w:pStyle w:val="ListParagraph"/>
              <w:numPr>
                <w:ilvl w:val="0"/>
                <w:numId w:val="16"/>
              </w:numPr>
              <w:spacing w:line="256" w:lineRule="auto"/>
              <w:ind w:left="434"/>
              <w:rPr>
                <w:rFonts w:ascii="Times New Roman" w:eastAsia="Times New Roman" w:hAnsi="Times New Roman" w:cs="Times New Roman"/>
                <w:sz w:val="24"/>
                <w:szCs w:val="24"/>
              </w:rPr>
            </w:pPr>
            <w:r w:rsidRPr="42E0D32A">
              <w:rPr>
                <w:rFonts w:ascii="Times New Roman" w:eastAsia="Times New Roman" w:hAnsi="Times New Roman" w:cs="Times New Roman"/>
                <w:sz w:val="24"/>
                <w:szCs w:val="24"/>
              </w:rPr>
              <w:t xml:space="preserve">Clarifications in the Good Design Practices sections between Level 1 and Level 2. </w:t>
            </w:r>
          </w:p>
        </w:tc>
      </w:tr>
      <w:tr w:rsidR="009D26A9" w:rsidRPr="0056728C" w14:paraId="78E6B1D6" w14:textId="77777777" w:rsidTr="5F8F02A4">
        <w:tc>
          <w:tcPr>
            <w:tcW w:w="1525" w:type="dxa"/>
            <w:tcBorders>
              <w:top w:val="single" w:sz="4" w:space="0" w:color="auto"/>
              <w:left w:val="single" w:sz="4" w:space="0" w:color="auto"/>
              <w:bottom w:val="single" w:sz="4" w:space="0" w:color="auto"/>
              <w:right w:val="single" w:sz="4" w:space="0" w:color="auto"/>
            </w:tcBorders>
          </w:tcPr>
          <w:p w14:paraId="522F2DA5" w14:textId="648A5913" w:rsidR="009D26A9" w:rsidRPr="0056728C" w:rsidRDefault="42E0D32A" w:rsidP="42E0D32A">
            <w:r w:rsidRPr="42E0D32A">
              <w:t>November 14, 2019</w:t>
            </w:r>
          </w:p>
        </w:tc>
        <w:tc>
          <w:tcPr>
            <w:tcW w:w="7825" w:type="dxa"/>
            <w:tcBorders>
              <w:top w:val="single" w:sz="4" w:space="0" w:color="auto"/>
              <w:left w:val="single" w:sz="4" w:space="0" w:color="auto"/>
              <w:bottom w:val="single" w:sz="4" w:space="0" w:color="auto"/>
              <w:right w:val="single" w:sz="4" w:space="0" w:color="auto"/>
            </w:tcBorders>
          </w:tcPr>
          <w:p w14:paraId="7A890550" w14:textId="37C0F155" w:rsidR="00737AC0" w:rsidRPr="0056728C" w:rsidRDefault="42E0D32A" w:rsidP="009D38ED">
            <w:pPr>
              <w:pStyle w:val="ListParagraph"/>
              <w:numPr>
                <w:ilvl w:val="0"/>
                <w:numId w:val="17"/>
              </w:numPr>
              <w:spacing w:line="256" w:lineRule="auto"/>
              <w:ind w:left="434"/>
              <w:rPr>
                <w:rFonts w:ascii="Times New Roman" w:eastAsia="Times New Roman" w:hAnsi="Times New Roman" w:cs="Times New Roman"/>
                <w:sz w:val="24"/>
                <w:szCs w:val="24"/>
              </w:rPr>
            </w:pPr>
            <w:bookmarkStart w:id="0" w:name="_Hlk24643452"/>
            <w:r w:rsidRPr="42E0D32A">
              <w:rPr>
                <w:rFonts w:ascii="Times New Roman" w:eastAsia="Times New Roman" w:hAnsi="Times New Roman" w:cs="Times New Roman"/>
                <w:sz w:val="24"/>
                <w:szCs w:val="24"/>
              </w:rPr>
              <w:t>ALMS definition added and language changed to reflect new definition and enable ALMS for Multifamily and Office</w:t>
            </w:r>
          </w:p>
          <w:p w14:paraId="0705433D" w14:textId="3423A4D5" w:rsidR="00A867F0" w:rsidRPr="0056728C" w:rsidRDefault="42E0D32A" w:rsidP="009D38ED">
            <w:pPr>
              <w:pStyle w:val="ListParagraph"/>
              <w:numPr>
                <w:ilvl w:val="0"/>
                <w:numId w:val="17"/>
              </w:numPr>
              <w:spacing w:line="256" w:lineRule="auto"/>
              <w:ind w:left="434"/>
              <w:rPr>
                <w:rFonts w:ascii="Times New Roman" w:eastAsia="Times New Roman" w:hAnsi="Times New Roman" w:cs="Times New Roman"/>
                <w:sz w:val="24"/>
                <w:szCs w:val="24"/>
              </w:rPr>
            </w:pPr>
            <w:r w:rsidRPr="42E0D32A">
              <w:rPr>
                <w:rFonts w:ascii="Times New Roman" w:eastAsia="Times New Roman" w:hAnsi="Times New Roman" w:cs="Times New Roman"/>
                <w:sz w:val="24"/>
                <w:szCs w:val="24"/>
              </w:rPr>
              <w:t xml:space="preserve">Notation added throughout (underline, strikethrough, </w:t>
            </w:r>
            <w:proofErr w:type="spellStart"/>
            <w:r w:rsidRPr="42E0D32A">
              <w:rPr>
                <w:rFonts w:ascii="Times New Roman" w:eastAsia="Times New Roman" w:hAnsi="Times New Roman" w:cs="Times New Roman"/>
                <w:sz w:val="24"/>
                <w:szCs w:val="24"/>
              </w:rPr>
              <w:t>etc</w:t>
            </w:r>
            <w:proofErr w:type="spellEnd"/>
            <w:r w:rsidRPr="42E0D32A">
              <w:rPr>
                <w:rFonts w:ascii="Times New Roman" w:eastAsia="Times New Roman" w:hAnsi="Times New Roman" w:cs="Times New Roman"/>
                <w:sz w:val="24"/>
                <w:szCs w:val="24"/>
              </w:rPr>
              <w:t>) for easier city implementation</w:t>
            </w:r>
          </w:p>
          <w:p w14:paraId="5580A5ED" w14:textId="77777777" w:rsidR="00B75E39" w:rsidRPr="0056728C" w:rsidRDefault="42E0D32A" w:rsidP="009D38ED">
            <w:pPr>
              <w:pStyle w:val="ListParagraph"/>
              <w:numPr>
                <w:ilvl w:val="0"/>
                <w:numId w:val="17"/>
              </w:numPr>
              <w:spacing w:line="256" w:lineRule="auto"/>
              <w:ind w:left="434"/>
              <w:rPr>
                <w:rFonts w:ascii="Times New Roman" w:eastAsia="Times New Roman" w:hAnsi="Times New Roman" w:cs="Times New Roman"/>
                <w:sz w:val="24"/>
                <w:szCs w:val="24"/>
              </w:rPr>
            </w:pPr>
            <w:r w:rsidRPr="42E0D32A">
              <w:rPr>
                <w:rFonts w:ascii="Times New Roman" w:eastAsia="Times New Roman" w:hAnsi="Times New Roman" w:cs="Times New Roman"/>
                <w:sz w:val="24"/>
                <w:szCs w:val="24"/>
              </w:rPr>
              <w:t>Affordable Housing definition added</w:t>
            </w:r>
          </w:p>
          <w:p w14:paraId="1442E240" w14:textId="71FEB664" w:rsidR="00B75E39" w:rsidRPr="0056728C" w:rsidRDefault="42E0D32A" w:rsidP="009D38ED">
            <w:pPr>
              <w:pStyle w:val="ListParagraph"/>
              <w:numPr>
                <w:ilvl w:val="0"/>
                <w:numId w:val="17"/>
              </w:numPr>
              <w:spacing w:line="256" w:lineRule="auto"/>
              <w:ind w:left="434"/>
              <w:rPr>
                <w:rFonts w:ascii="Times New Roman" w:eastAsia="Times New Roman" w:hAnsi="Times New Roman" w:cs="Times New Roman"/>
                <w:sz w:val="24"/>
                <w:szCs w:val="24"/>
              </w:rPr>
            </w:pPr>
            <w:proofErr w:type="spellStart"/>
            <w:r w:rsidRPr="42E0D32A">
              <w:rPr>
                <w:rFonts w:ascii="Times New Roman" w:eastAsia="Times New Roman" w:hAnsi="Times New Roman" w:cs="Times New Roman"/>
                <w:sz w:val="24"/>
                <w:szCs w:val="24"/>
              </w:rPr>
              <w:t>CALGreen</w:t>
            </w:r>
            <w:proofErr w:type="spellEnd"/>
            <w:r w:rsidRPr="42E0D32A">
              <w:rPr>
                <w:rFonts w:ascii="Times New Roman" w:eastAsia="Times New Roman" w:hAnsi="Times New Roman" w:cs="Times New Roman"/>
                <w:sz w:val="24"/>
                <w:szCs w:val="24"/>
              </w:rPr>
              <w:t xml:space="preserve"> parking space size requirement removed in favor of local AHJ parking space size requirements</w:t>
            </w:r>
            <w:bookmarkEnd w:id="0"/>
          </w:p>
          <w:p w14:paraId="76F6E61C" w14:textId="03FBB8F6" w:rsidR="00B75E39" w:rsidRPr="0056728C" w:rsidRDefault="42E0D32A" w:rsidP="009D38ED">
            <w:pPr>
              <w:pStyle w:val="ListParagraph"/>
              <w:numPr>
                <w:ilvl w:val="0"/>
                <w:numId w:val="17"/>
              </w:numPr>
              <w:spacing w:line="256" w:lineRule="auto"/>
              <w:ind w:left="434"/>
              <w:rPr>
                <w:rFonts w:ascii="Times New Roman" w:eastAsia="Times New Roman" w:hAnsi="Times New Roman" w:cs="Times New Roman"/>
                <w:sz w:val="24"/>
                <w:szCs w:val="24"/>
              </w:rPr>
            </w:pPr>
            <w:r w:rsidRPr="42E0D32A">
              <w:rPr>
                <w:rFonts w:ascii="Times New Roman" w:eastAsia="Times New Roman" w:hAnsi="Times New Roman" w:cs="Times New Roman"/>
                <w:sz w:val="24"/>
                <w:szCs w:val="24"/>
              </w:rPr>
              <w:t>Added recommended statement to include in the City Findings.</w:t>
            </w:r>
          </w:p>
        </w:tc>
      </w:tr>
      <w:tr w:rsidR="002452DA" w:rsidRPr="0056728C" w14:paraId="407FB176" w14:textId="77777777" w:rsidTr="5F8F02A4">
        <w:tc>
          <w:tcPr>
            <w:tcW w:w="1525" w:type="dxa"/>
            <w:tcBorders>
              <w:top w:val="single" w:sz="4" w:space="0" w:color="auto"/>
              <w:left w:val="single" w:sz="4" w:space="0" w:color="auto"/>
              <w:bottom w:val="single" w:sz="4" w:space="0" w:color="auto"/>
              <w:right w:val="single" w:sz="4" w:space="0" w:color="auto"/>
            </w:tcBorders>
          </w:tcPr>
          <w:p w14:paraId="464BD42F" w14:textId="440CBB20" w:rsidR="002452DA" w:rsidRPr="0056728C" w:rsidRDefault="42E0D32A" w:rsidP="42E0D32A">
            <w:r w:rsidRPr="42E0D32A">
              <w:t>January 2, 2020</w:t>
            </w:r>
          </w:p>
        </w:tc>
        <w:tc>
          <w:tcPr>
            <w:tcW w:w="7825" w:type="dxa"/>
            <w:tcBorders>
              <w:top w:val="single" w:sz="4" w:space="0" w:color="auto"/>
              <w:left w:val="single" w:sz="4" w:space="0" w:color="auto"/>
              <w:bottom w:val="single" w:sz="4" w:space="0" w:color="auto"/>
              <w:right w:val="single" w:sz="4" w:space="0" w:color="auto"/>
            </w:tcBorders>
          </w:tcPr>
          <w:p w14:paraId="0925F91E" w14:textId="607680F8" w:rsidR="002452DA" w:rsidRPr="0056728C" w:rsidRDefault="42E0D32A" w:rsidP="009D38ED">
            <w:pPr>
              <w:pStyle w:val="ListParagraph"/>
              <w:numPr>
                <w:ilvl w:val="0"/>
                <w:numId w:val="18"/>
              </w:numPr>
              <w:spacing w:line="256" w:lineRule="auto"/>
              <w:ind w:left="439"/>
              <w:rPr>
                <w:rFonts w:ascii="Times New Roman" w:eastAsia="Times New Roman" w:hAnsi="Times New Roman" w:cs="Times New Roman"/>
                <w:sz w:val="24"/>
                <w:szCs w:val="24"/>
              </w:rPr>
            </w:pPr>
            <w:r w:rsidRPr="42E0D32A">
              <w:rPr>
                <w:rFonts w:ascii="Times New Roman" w:eastAsia="Times New Roman" w:hAnsi="Times New Roman" w:cs="Times New Roman"/>
                <w:sz w:val="24"/>
                <w:szCs w:val="24"/>
              </w:rPr>
              <w:t>ALMS definition expanded to include Level 1 chargers</w:t>
            </w:r>
          </w:p>
          <w:p w14:paraId="3D3E8A3A" w14:textId="6BE38A03" w:rsidR="002B76AF" w:rsidRPr="0056728C" w:rsidRDefault="42E0D32A" w:rsidP="009D38ED">
            <w:pPr>
              <w:pStyle w:val="ListParagraph"/>
              <w:numPr>
                <w:ilvl w:val="0"/>
                <w:numId w:val="18"/>
              </w:numPr>
              <w:spacing w:line="256" w:lineRule="auto"/>
              <w:ind w:left="439"/>
              <w:rPr>
                <w:rFonts w:ascii="Times New Roman" w:eastAsia="Times New Roman" w:hAnsi="Times New Roman" w:cs="Times New Roman"/>
                <w:sz w:val="24"/>
                <w:szCs w:val="24"/>
              </w:rPr>
            </w:pPr>
            <w:r w:rsidRPr="42E0D32A">
              <w:rPr>
                <w:rFonts w:ascii="Times New Roman" w:eastAsia="Times New Roman" w:hAnsi="Times New Roman" w:cs="Times New Roman"/>
                <w:sz w:val="24"/>
                <w:szCs w:val="24"/>
              </w:rPr>
              <w:t xml:space="preserve">Changed “EV Ready Circuit” to “EV Ready Space” and modified EVCS definition to specify EVSE </w:t>
            </w:r>
            <w:proofErr w:type="gramStart"/>
            <w:r w:rsidRPr="42E0D32A">
              <w:rPr>
                <w:rFonts w:ascii="Times New Roman" w:eastAsia="Times New Roman" w:hAnsi="Times New Roman" w:cs="Times New Roman"/>
                <w:sz w:val="24"/>
                <w:szCs w:val="24"/>
              </w:rPr>
              <w:t>is connected</w:t>
            </w:r>
            <w:proofErr w:type="gramEnd"/>
            <w:r w:rsidRPr="42E0D32A">
              <w:rPr>
                <w:rFonts w:ascii="Times New Roman" w:eastAsia="Times New Roman" w:hAnsi="Times New Roman" w:cs="Times New Roman"/>
                <w:sz w:val="24"/>
                <w:szCs w:val="24"/>
              </w:rPr>
              <w:t xml:space="preserve"> to the associated circuit</w:t>
            </w:r>
          </w:p>
          <w:p w14:paraId="069B121B" w14:textId="00686138" w:rsidR="00973C97" w:rsidRPr="0056728C" w:rsidRDefault="42E0D32A" w:rsidP="009D38ED">
            <w:pPr>
              <w:pStyle w:val="ListParagraph"/>
              <w:numPr>
                <w:ilvl w:val="0"/>
                <w:numId w:val="18"/>
              </w:numPr>
              <w:spacing w:line="256" w:lineRule="auto"/>
              <w:ind w:left="439"/>
              <w:rPr>
                <w:rFonts w:ascii="Times New Roman" w:eastAsia="Times New Roman" w:hAnsi="Times New Roman" w:cs="Times New Roman"/>
                <w:sz w:val="24"/>
                <w:szCs w:val="24"/>
              </w:rPr>
            </w:pPr>
            <w:r w:rsidRPr="42E0D32A">
              <w:rPr>
                <w:rFonts w:ascii="Times New Roman" w:eastAsia="Times New Roman" w:hAnsi="Times New Roman" w:cs="Times New Roman"/>
                <w:sz w:val="24"/>
                <w:szCs w:val="24"/>
              </w:rPr>
              <w:t>Changed EVCS definition to 30 amp “capacity” to allow load management</w:t>
            </w:r>
          </w:p>
          <w:p w14:paraId="2DE31AB9" w14:textId="6CCF65C9" w:rsidR="002452DA" w:rsidRPr="0056728C" w:rsidRDefault="42E0D32A" w:rsidP="009D38ED">
            <w:pPr>
              <w:pStyle w:val="ListParagraph"/>
              <w:numPr>
                <w:ilvl w:val="0"/>
                <w:numId w:val="18"/>
              </w:numPr>
              <w:spacing w:line="256" w:lineRule="auto"/>
              <w:ind w:left="439"/>
              <w:rPr>
                <w:rFonts w:ascii="Times New Roman" w:eastAsia="Times New Roman" w:hAnsi="Times New Roman" w:cs="Times New Roman"/>
                <w:sz w:val="24"/>
                <w:szCs w:val="24"/>
              </w:rPr>
            </w:pPr>
            <w:r w:rsidRPr="42E0D32A">
              <w:rPr>
                <w:rFonts w:ascii="Times New Roman" w:eastAsia="Times New Roman" w:hAnsi="Times New Roman" w:cs="Times New Roman"/>
                <w:sz w:val="24"/>
                <w:szCs w:val="24"/>
              </w:rPr>
              <w:t xml:space="preserve">Included reference to existing 2019 </w:t>
            </w:r>
            <w:proofErr w:type="spellStart"/>
            <w:r w:rsidRPr="42E0D32A">
              <w:rPr>
                <w:rFonts w:ascii="Times New Roman" w:eastAsia="Times New Roman" w:hAnsi="Times New Roman" w:cs="Times New Roman"/>
                <w:sz w:val="24"/>
                <w:szCs w:val="24"/>
              </w:rPr>
              <w:t>CALGreen</w:t>
            </w:r>
            <w:proofErr w:type="spellEnd"/>
            <w:r w:rsidRPr="42E0D32A">
              <w:rPr>
                <w:rFonts w:ascii="Times New Roman" w:eastAsia="Times New Roman" w:hAnsi="Times New Roman" w:cs="Times New Roman"/>
                <w:sz w:val="24"/>
                <w:szCs w:val="24"/>
              </w:rPr>
              <w:t xml:space="preserve"> section covering hotels.</w:t>
            </w:r>
          </w:p>
          <w:p w14:paraId="3E7FB9D1" w14:textId="77777777" w:rsidR="00F934E3" w:rsidRPr="0056728C" w:rsidRDefault="42E0D32A" w:rsidP="009D38ED">
            <w:pPr>
              <w:pStyle w:val="ListParagraph"/>
              <w:numPr>
                <w:ilvl w:val="0"/>
                <w:numId w:val="18"/>
              </w:numPr>
              <w:spacing w:line="256" w:lineRule="auto"/>
              <w:ind w:left="439"/>
              <w:rPr>
                <w:rFonts w:ascii="Times New Roman" w:eastAsia="Times New Roman" w:hAnsi="Times New Roman" w:cs="Times New Roman"/>
                <w:sz w:val="24"/>
                <w:szCs w:val="24"/>
              </w:rPr>
            </w:pPr>
            <w:r w:rsidRPr="42E0D32A">
              <w:rPr>
                <w:rFonts w:ascii="Times New Roman" w:eastAsia="Times New Roman" w:hAnsi="Times New Roman" w:cs="Times New Roman"/>
                <w:sz w:val="24"/>
                <w:szCs w:val="24"/>
              </w:rPr>
              <w:t>Exception added for automated mechanical car parking systems</w:t>
            </w:r>
          </w:p>
          <w:p w14:paraId="6617F786" w14:textId="2590AD78" w:rsidR="00BE2211" w:rsidRPr="0056728C" w:rsidRDefault="42E0D32A" w:rsidP="009D38ED">
            <w:pPr>
              <w:pStyle w:val="ListParagraph"/>
              <w:numPr>
                <w:ilvl w:val="0"/>
                <w:numId w:val="18"/>
              </w:numPr>
              <w:spacing w:line="256" w:lineRule="auto"/>
              <w:ind w:left="439"/>
              <w:rPr>
                <w:rFonts w:ascii="Times New Roman" w:eastAsia="Times New Roman" w:hAnsi="Times New Roman" w:cs="Times New Roman"/>
                <w:sz w:val="24"/>
                <w:szCs w:val="24"/>
              </w:rPr>
            </w:pPr>
            <w:r w:rsidRPr="42E0D32A">
              <w:rPr>
                <w:rFonts w:ascii="Times New Roman" w:eastAsia="Times New Roman" w:hAnsi="Times New Roman" w:cs="Times New Roman"/>
                <w:sz w:val="24"/>
                <w:szCs w:val="24"/>
              </w:rPr>
              <w:lastRenderedPageBreak/>
              <w:t>Updated and generalized notes to California Building Code accessible EVCS requirements.</w:t>
            </w:r>
          </w:p>
        </w:tc>
      </w:tr>
      <w:tr w:rsidR="003D00E8" w:rsidRPr="0056728C" w14:paraId="1AFE1BBB" w14:textId="77777777" w:rsidTr="5F8F02A4">
        <w:tc>
          <w:tcPr>
            <w:tcW w:w="1525" w:type="dxa"/>
            <w:tcBorders>
              <w:top w:val="single" w:sz="4" w:space="0" w:color="auto"/>
              <w:left w:val="single" w:sz="4" w:space="0" w:color="auto"/>
              <w:bottom w:val="single" w:sz="4" w:space="0" w:color="auto"/>
              <w:right w:val="single" w:sz="4" w:space="0" w:color="auto"/>
            </w:tcBorders>
          </w:tcPr>
          <w:p w14:paraId="4E6B099A" w14:textId="76D298C7" w:rsidR="003D00E8" w:rsidRPr="0056728C" w:rsidRDefault="42E0D32A" w:rsidP="42E0D32A">
            <w:r w:rsidRPr="42E0D32A">
              <w:lastRenderedPageBreak/>
              <w:t>October 1, 2020</w:t>
            </w:r>
          </w:p>
        </w:tc>
        <w:tc>
          <w:tcPr>
            <w:tcW w:w="7825" w:type="dxa"/>
            <w:tcBorders>
              <w:top w:val="single" w:sz="4" w:space="0" w:color="auto"/>
              <w:left w:val="single" w:sz="4" w:space="0" w:color="auto"/>
              <w:bottom w:val="single" w:sz="4" w:space="0" w:color="auto"/>
              <w:right w:val="single" w:sz="4" w:space="0" w:color="auto"/>
            </w:tcBorders>
          </w:tcPr>
          <w:p w14:paraId="62D9D74E" w14:textId="5B3E1CBC" w:rsidR="003D00E8" w:rsidRPr="0056728C" w:rsidRDefault="42E0D32A" w:rsidP="009D38ED">
            <w:pPr>
              <w:pStyle w:val="ListParagraph"/>
              <w:numPr>
                <w:ilvl w:val="0"/>
                <w:numId w:val="21"/>
              </w:numPr>
              <w:spacing w:line="256" w:lineRule="auto"/>
              <w:rPr>
                <w:rFonts w:ascii="Times New Roman" w:eastAsia="Times New Roman" w:hAnsi="Times New Roman" w:cs="Times New Roman"/>
                <w:sz w:val="24"/>
                <w:szCs w:val="24"/>
              </w:rPr>
            </w:pPr>
            <w:r w:rsidRPr="42E0D32A">
              <w:rPr>
                <w:rFonts w:ascii="Times New Roman" w:eastAsia="Times New Roman" w:hAnsi="Times New Roman" w:cs="Times New Roman"/>
                <w:sz w:val="24"/>
                <w:szCs w:val="24"/>
              </w:rPr>
              <w:t>Added an exemption for multifamily building projects that have already received entitlement to install EV infrastructure according to already percentages required in the baseline state code.</w:t>
            </w:r>
          </w:p>
          <w:p w14:paraId="03FE6528" w14:textId="588C6443" w:rsidR="003D00E8" w:rsidRPr="0056728C" w:rsidRDefault="42E0D32A" w:rsidP="009D38ED">
            <w:pPr>
              <w:pStyle w:val="ListParagraph"/>
              <w:numPr>
                <w:ilvl w:val="0"/>
                <w:numId w:val="21"/>
              </w:numPr>
              <w:spacing w:line="256" w:lineRule="auto"/>
              <w:rPr>
                <w:rFonts w:ascii="Times New Roman" w:eastAsia="Times New Roman" w:hAnsi="Times New Roman" w:cs="Times New Roman"/>
                <w:sz w:val="24"/>
                <w:szCs w:val="24"/>
              </w:rPr>
            </w:pPr>
            <w:r w:rsidRPr="42E0D32A">
              <w:rPr>
                <w:rFonts w:ascii="Times New Roman" w:eastAsia="Times New Roman" w:hAnsi="Times New Roman" w:cs="Times New Roman"/>
                <w:sz w:val="24"/>
                <w:szCs w:val="24"/>
              </w:rPr>
              <w:t>Relocated exemptions to improve clarity.</w:t>
            </w:r>
          </w:p>
          <w:p w14:paraId="7B5C322E" w14:textId="52578E64" w:rsidR="003D00E8" w:rsidRPr="0056728C" w:rsidRDefault="42E0D32A" w:rsidP="009D38ED">
            <w:pPr>
              <w:pStyle w:val="ListParagraph"/>
              <w:numPr>
                <w:ilvl w:val="0"/>
                <w:numId w:val="21"/>
              </w:numPr>
              <w:spacing w:line="256" w:lineRule="auto"/>
              <w:rPr>
                <w:rFonts w:ascii="Times New Roman" w:eastAsia="Times New Roman" w:hAnsi="Times New Roman" w:cs="Times New Roman"/>
                <w:sz w:val="24"/>
                <w:szCs w:val="24"/>
              </w:rPr>
            </w:pPr>
            <w:r w:rsidRPr="42E0D32A">
              <w:rPr>
                <w:rFonts w:ascii="Times New Roman" w:eastAsia="Times New Roman" w:hAnsi="Times New Roman" w:cs="Times New Roman"/>
                <w:sz w:val="24"/>
                <w:szCs w:val="24"/>
              </w:rPr>
              <w:t>Corrected references to sections previously stricken through.</w:t>
            </w:r>
          </w:p>
        </w:tc>
      </w:tr>
      <w:tr w:rsidR="00AF359F" w:rsidRPr="0056728C" w14:paraId="29624588" w14:textId="77777777" w:rsidTr="5F8F02A4">
        <w:tc>
          <w:tcPr>
            <w:tcW w:w="1525" w:type="dxa"/>
            <w:tcBorders>
              <w:top w:val="single" w:sz="4" w:space="0" w:color="auto"/>
              <w:left w:val="single" w:sz="4" w:space="0" w:color="auto"/>
              <w:bottom w:val="single" w:sz="4" w:space="0" w:color="auto"/>
              <w:right w:val="single" w:sz="4" w:space="0" w:color="auto"/>
            </w:tcBorders>
          </w:tcPr>
          <w:p w14:paraId="59F15B74" w14:textId="3B186809" w:rsidR="00AF359F" w:rsidRPr="0056728C" w:rsidRDefault="42E0D32A" w:rsidP="42E0D32A">
            <w:r w:rsidRPr="42E0D32A">
              <w:t>December 14, 2020</w:t>
            </w:r>
          </w:p>
        </w:tc>
        <w:tc>
          <w:tcPr>
            <w:tcW w:w="7825" w:type="dxa"/>
            <w:tcBorders>
              <w:top w:val="single" w:sz="4" w:space="0" w:color="auto"/>
              <w:left w:val="single" w:sz="4" w:space="0" w:color="auto"/>
              <w:bottom w:val="single" w:sz="4" w:space="0" w:color="auto"/>
              <w:right w:val="single" w:sz="4" w:space="0" w:color="auto"/>
            </w:tcBorders>
          </w:tcPr>
          <w:p w14:paraId="18FC92C4" w14:textId="404A61CF" w:rsidR="00AF359F" w:rsidRPr="0056728C" w:rsidRDefault="42E0D32A" w:rsidP="009D38ED">
            <w:pPr>
              <w:pStyle w:val="ListParagraph"/>
              <w:numPr>
                <w:ilvl w:val="0"/>
                <w:numId w:val="22"/>
              </w:numPr>
              <w:spacing w:line="256" w:lineRule="auto"/>
              <w:rPr>
                <w:rFonts w:ascii="Times New Roman" w:eastAsia="Times New Roman" w:hAnsi="Times New Roman" w:cs="Times New Roman"/>
                <w:sz w:val="24"/>
                <w:szCs w:val="24"/>
              </w:rPr>
            </w:pPr>
            <w:r w:rsidRPr="42E0D32A">
              <w:rPr>
                <w:rFonts w:ascii="Times New Roman" w:eastAsia="Times New Roman" w:hAnsi="Times New Roman" w:cs="Times New Roman"/>
                <w:sz w:val="24"/>
                <w:szCs w:val="24"/>
              </w:rPr>
              <w:t>Updated EVCS definition to reference Electrical Code</w:t>
            </w:r>
          </w:p>
          <w:p w14:paraId="13826D9A" w14:textId="77777777" w:rsidR="00AF359F" w:rsidRPr="0056728C" w:rsidRDefault="42E0D32A" w:rsidP="009D38ED">
            <w:pPr>
              <w:pStyle w:val="ListParagraph"/>
              <w:numPr>
                <w:ilvl w:val="0"/>
                <w:numId w:val="22"/>
              </w:numPr>
              <w:spacing w:line="256" w:lineRule="auto"/>
              <w:rPr>
                <w:rFonts w:ascii="Times New Roman" w:eastAsia="Times New Roman" w:hAnsi="Times New Roman" w:cs="Times New Roman"/>
                <w:sz w:val="24"/>
                <w:szCs w:val="24"/>
              </w:rPr>
            </w:pPr>
            <w:r w:rsidRPr="42E0D32A">
              <w:rPr>
                <w:rFonts w:ascii="Times New Roman" w:eastAsia="Times New Roman" w:hAnsi="Times New Roman" w:cs="Times New Roman"/>
                <w:sz w:val="24"/>
                <w:szCs w:val="24"/>
              </w:rPr>
              <w:t>Clarified ADU exemption</w:t>
            </w:r>
          </w:p>
          <w:p w14:paraId="1B4E6415" w14:textId="65EFB066" w:rsidR="00AF359F" w:rsidRPr="0056728C" w:rsidRDefault="42E0D32A" w:rsidP="009D38ED">
            <w:pPr>
              <w:pStyle w:val="ListParagraph"/>
              <w:numPr>
                <w:ilvl w:val="0"/>
                <w:numId w:val="22"/>
              </w:numPr>
              <w:spacing w:line="256" w:lineRule="auto"/>
              <w:rPr>
                <w:rFonts w:ascii="Times New Roman" w:eastAsia="Times New Roman" w:hAnsi="Times New Roman" w:cs="Times New Roman"/>
                <w:sz w:val="24"/>
                <w:szCs w:val="24"/>
              </w:rPr>
            </w:pPr>
            <w:r w:rsidRPr="42E0D32A">
              <w:rPr>
                <w:rFonts w:ascii="Times New Roman" w:eastAsia="Times New Roman" w:hAnsi="Times New Roman" w:cs="Times New Roman"/>
                <w:sz w:val="24"/>
                <w:szCs w:val="24"/>
              </w:rPr>
              <w:t>Revised multifamily requirements to be more continuous across building sizes, inclusive of the option for ALMS, and provide an option for port-sharing across dwelling units.</w:t>
            </w:r>
          </w:p>
        </w:tc>
      </w:tr>
      <w:tr w:rsidR="41996415" w14:paraId="3F44D691" w14:textId="77777777" w:rsidTr="5F8F02A4">
        <w:tc>
          <w:tcPr>
            <w:tcW w:w="1525" w:type="dxa"/>
            <w:tcBorders>
              <w:top w:val="single" w:sz="4" w:space="0" w:color="auto"/>
              <w:left w:val="single" w:sz="4" w:space="0" w:color="auto"/>
              <w:bottom w:val="single" w:sz="4" w:space="0" w:color="auto"/>
              <w:right w:val="single" w:sz="4" w:space="0" w:color="auto"/>
            </w:tcBorders>
          </w:tcPr>
          <w:p w14:paraId="04D68F50" w14:textId="4153F08E" w:rsidR="41996415" w:rsidRDefault="426EAEE5" w:rsidP="41996415">
            <w:proofErr w:type="gramStart"/>
            <w:r>
              <w:t>February,</w:t>
            </w:r>
            <w:proofErr w:type="gramEnd"/>
            <w:r>
              <w:t xml:space="preserve"> 19 2021</w:t>
            </w:r>
          </w:p>
        </w:tc>
        <w:tc>
          <w:tcPr>
            <w:tcW w:w="7825" w:type="dxa"/>
            <w:tcBorders>
              <w:top w:val="single" w:sz="4" w:space="0" w:color="auto"/>
              <w:left w:val="single" w:sz="4" w:space="0" w:color="auto"/>
              <w:bottom w:val="single" w:sz="4" w:space="0" w:color="auto"/>
              <w:right w:val="single" w:sz="4" w:space="0" w:color="auto"/>
            </w:tcBorders>
          </w:tcPr>
          <w:p w14:paraId="5D769EBB" w14:textId="1EE5311F" w:rsidR="41996415" w:rsidRDefault="426EAEE5" w:rsidP="426EAEE5">
            <w:pPr>
              <w:pStyle w:val="ListParagraph"/>
              <w:spacing w:line="256" w:lineRule="auto"/>
              <w:ind w:left="0"/>
            </w:pPr>
            <w:r w:rsidRPr="426EAEE5">
              <w:rPr>
                <w:rFonts w:ascii="Times New Roman" w:eastAsia="Times New Roman" w:hAnsi="Times New Roman" w:cs="Times New Roman"/>
                <w:sz w:val="24"/>
                <w:szCs w:val="24"/>
              </w:rPr>
              <w:t>1) Updated ALMS definition to include minimum amperage requirement</w:t>
            </w:r>
          </w:p>
          <w:p w14:paraId="74309EBD" w14:textId="3C29DA05" w:rsidR="41996415" w:rsidRDefault="426EAEE5" w:rsidP="426EAEE5">
            <w:pPr>
              <w:pStyle w:val="ListParagraph"/>
              <w:spacing w:line="256" w:lineRule="auto"/>
              <w:ind w:left="0"/>
              <w:rPr>
                <w:rFonts w:ascii="Times New Roman" w:eastAsia="Times New Roman" w:hAnsi="Times New Roman" w:cs="Times New Roman"/>
                <w:sz w:val="24"/>
                <w:szCs w:val="24"/>
              </w:rPr>
            </w:pPr>
            <w:r w:rsidRPr="426EAEE5">
              <w:rPr>
                <w:rFonts w:ascii="Times New Roman" w:eastAsia="Times New Roman" w:hAnsi="Times New Roman" w:cs="Times New Roman"/>
                <w:sz w:val="24"/>
                <w:szCs w:val="24"/>
              </w:rPr>
              <w:t>2) Removed exceptions for mechanical car parking.</w:t>
            </w:r>
          </w:p>
          <w:p w14:paraId="1D378B83" w14:textId="0038CC6F" w:rsidR="41996415" w:rsidRDefault="426EAEE5" w:rsidP="426EAEE5">
            <w:pPr>
              <w:pStyle w:val="ListParagraph"/>
              <w:spacing w:line="256" w:lineRule="auto"/>
              <w:ind w:left="0"/>
              <w:rPr>
                <w:rFonts w:ascii="Times New Roman" w:eastAsia="Times New Roman" w:hAnsi="Times New Roman" w:cs="Times New Roman"/>
                <w:sz w:val="24"/>
                <w:szCs w:val="24"/>
              </w:rPr>
            </w:pPr>
            <w:r w:rsidRPr="426EAEE5">
              <w:rPr>
                <w:rFonts w:ascii="Times New Roman" w:eastAsia="Times New Roman" w:hAnsi="Times New Roman" w:cs="Times New Roman"/>
                <w:sz w:val="24"/>
                <w:szCs w:val="24"/>
              </w:rPr>
              <w:t>3) Revised comments for cost-reduction options.</w:t>
            </w:r>
          </w:p>
        </w:tc>
      </w:tr>
      <w:tr w:rsidR="6538F3BF" w14:paraId="2BF29562" w14:textId="77777777" w:rsidTr="5F8F02A4">
        <w:tc>
          <w:tcPr>
            <w:tcW w:w="1525" w:type="dxa"/>
            <w:tcBorders>
              <w:top w:val="single" w:sz="4" w:space="0" w:color="auto"/>
              <w:left w:val="single" w:sz="4" w:space="0" w:color="auto"/>
              <w:bottom w:val="single" w:sz="4" w:space="0" w:color="auto"/>
              <w:right w:val="single" w:sz="4" w:space="0" w:color="auto"/>
            </w:tcBorders>
          </w:tcPr>
          <w:p w14:paraId="4DE2DD26" w14:textId="7969D4C6" w:rsidR="6538F3BF" w:rsidRDefault="614D7371" w:rsidP="6538F3BF">
            <w:r>
              <w:t>May 10, 2021</w:t>
            </w:r>
          </w:p>
        </w:tc>
        <w:tc>
          <w:tcPr>
            <w:tcW w:w="7825" w:type="dxa"/>
            <w:tcBorders>
              <w:top w:val="single" w:sz="4" w:space="0" w:color="auto"/>
              <w:left w:val="single" w:sz="4" w:space="0" w:color="auto"/>
              <w:bottom w:val="single" w:sz="4" w:space="0" w:color="auto"/>
              <w:right w:val="single" w:sz="4" w:space="0" w:color="auto"/>
            </w:tcBorders>
          </w:tcPr>
          <w:p w14:paraId="59869E8E" w14:textId="0E4C90D2" w:rsidR="6538F3BF" w:rsidRDefault="4A57446F" w:rsidP="6538F3BF">
            <w:pPr>
              <w:pStyle w:val="ListParagraph"/>
              <w:spacing w:line="256" w:lineRule="auto"/>
              <w:ind w:left="0"/>
              <w:rPr>
                <w:rFonts w:ascii="Times New Roman" w:eastAsia="Times New Roman" w:hAnsi="Times New Roman" w:cs="Times New Roman"/>
                <w:sz w:val="24"/>
                <w:szCs w:val="24"/>
              </w:rPr>
            </w:pPr>
            <w:r w:rsidRPr="4A57446F">
              <w:rPr>
                <w:rFonts w:ascii="Times New Roman" w:eastAsia="Times New Roman" w:hAnsi="Times New Roman" w:cs="Times New Roman"/>
                <w:sz w:val="24"/>
                <w:szCs w:val="24"/>
              </w:rPr>
              <w:t xml:space="preserve">1) Broadened the applicability of multifamily entitlements exemption </w:t>
            </w:r>
          </w:p>
          <w:p w14:paraId="06304A05" w14:textId="42A5DF6F" w:rsidR="6538F3BF" w:rsidRDefault="4A57446F" w:rsidP="6538F3BF">
            <w:pPr>
              <w:pStyle w:val="ListParagraph"/>
              <w:spacing w:line="256" w:lineRule="auto"/>
              <w:ind w:left="0"/>
              <w:rPr>
                <w:rFonts w:ascii="Times New Roman" w:eastAsia="Times New Roman" w:hAnsi="Times New Roman" w:cs="Times New Roman"/>
                <w:sz w:val="24"/>
                <w:szCs w:val="24"/>
              </w:rPr>
            </w:pPr>
            <w:r w:rsidRPr="4A57446F">
              <w:rPr>
                <w:rFonts w:ascii="Times New Roman" w:eastAsia="Times New Roman" w:hAnsi="Times New Roman" w:cs="Times New Roman"/>
                <w:sz w:val="24"/>
                <w:szCs w:val="24"/>
              </w:rPr>
              <w:t>2) Simplified nonresidential requirements by eliminating L1 option, broadening DCFC swap application, and encouraging ALMS to meet base code requirements.</w:t>
            </w:r>
          </w:p>
          <w:p w14:paraId="538DB3EC" w14:textId="6735797D" w:rsidR="6538F3BF" w:rsidRDefault="4A57446F" w:rsidP="6538F3BF">
            <w:pPr>
              <w:pStyle w:val="ListParagraph"/>
              <w:spacing w:line="256" w:lineRule="auto"/>
              <w:ind w:left="0"/>
              <w:rPr>
                <w:rFonts w:ascii="Times New Roman" w:eastAsia="Times New Roman" w:hAnsi="Times New Roman" w:cs="Times New Roman"/>
                <w:sz w:val="24"/>
                <w:szCs w:val="24"/>
              </w:rPr>
            </w:pPr>
            <w:r w:rsidRPr="4A57446F">
              <w:rPr>
                <w:rFonts w:ascii="Times New Roman" w:eastAsia="Times New Roman" w:hAnsi="Times New Roman" w:cs="Times New Roman"/>
                <w:sz w:val="24"/>
                <w:szCs w:val="24"/>
              </w:rPr>
              <w:t>2) Clarified references to Building Code Chapter 11A and 11B requirements.</w:t>
            </w:r>
          </w:p>
        </w:tc>
      </w:tr>
      <w:tr w:rsidR="5F8F02A4" w14:paraId="1434C1C6" w14:textId="77777777" w:rsidTr="5F8F02A4">
        <w:tc>
          <w:tcPr>
            <w:tcW w:w="1525" w:type="dxa"/>
            <w:tcBorders>
              <w:top w:val="single" w:sz="4" w:space="0" w:color="auto"/>
              <w:left w:val="single" w:sz="4" w:space="0" w:color="auto"/>
              <w:bottom w:val="single" w:sz="4" w:space="0" w:color="auto"/>
              <w:right w:val="single" w:sz="4" w:space="0" w:color="auto"/>
            </w:tcBorders>
          </w:tcPr>
          <w:p w14:paraId="4C280990" w14:textId="3DE2AF76" w:rsidR="5F8F02A4" w:rsidRDefault="5F8F02A4" w:rsidP="5F8F02A4">
            <w:r w:rsidRPr="5F8F02A4">
              <w:t>July 1, 2021</w:t>
            </w:r>
          </w:p>
        </w:tc>
        <w:tc>
          <w:tcPr>
            <w:tcW w:w="7825" w:type="dxa"/>
            <w:tcBorders>
              <w:top w:val="single" w:sz="4" w:space="0" w:color="auto"/>
              <w:left w:val="single" w:sz="4" w:space="0" w:color="auto"/>
              <w:bottom w:val="single" w:sz="4" w:space="0" w:color="auto"/>
              <w:right w:val="single" w:sz="4" w:space="0" w:color="auto"/>
            </w:tcBorders>
          </w:tcPr>
          <w:p w14:paraId="4F692BE6" w14:textId="0DCD08D2" w:rsidR="5F8F02A4" w:rsidRDefault="5F8F02A4" w:rsidP="5F8F02A4">
            <w:pPr>
              <w:pStyle w:val="ListParagraph"/>
              <w:spacing w:line="256" w:lineRule="auto"/>
              <w:ind w:left="0"/>
              <w:rPr>
                <w:rFonts w:ascii="Times New Roman" w:eastAsia="Times New Roman" w:hAnsi="Times New Roman" w:cs="Times New Roman"/>
              </w:rPr>
            </w:pPr>
            <w:r w:rsidRPr="5F8F02A4">
              <w:rPr>
                <w:rFonts w:ascii="Times New Roman" w:eastAsia="Times New Roman" w:hAnsi="Times New Roman" w:cs="Times New Roman"/>
              </w:rPr>
              <w:t>1</w:t>
            </w:r>
            <w:r w:rsidRPr="5F8F02A4">
              <w:rPr>
                <w:rFonts w:ascii="Times New Roman" w:eastAsia="Times New Roman" w:hAnsi="Times New Roman" w:cs="Times New Roman"/>
                <w:sz w:val="24"/>
                <w:szCs w:val="24"/>
              </w:rPr>
              <w:t>) Clarified prioritization of DCFC when integrated with ALMS.</w:t>
            </w:r>
          </w:p>
        </w:tc>
      </w:tr>
    </w:tbl>
    <w:p w14:paraId="259581CC" w14:textId="28705C0B" w:rsidR="00E97160" w:rsidRPr="0056728C" w:rsidRDefault="00E97160" w:rsidP="42E0D32A"/>
    <w:p w14:paraId="277D2085" w14:textId="77777777" w:rsidR="003D00E8" w:rsidRPr="0056728C" w:rsidRDefault="003D00E8" w:rsidP="42E0D32A"/>
    <w:p w14:paraId="65013796" w14:textId="09BDD990" w:rsidR="002D483A" w:rsidRPr="0056728C" w:rsidRDefault="42E0D32A" w:rsidP="42E0D32A">
      <w:pPr>
        <w:rPr>
          <w:b/>
          <w:bCs/>
          <w:u w:val="single"/>
        </w:rPr>
      </w:pPr>
      <w:r w:rsidRPr="42E0D32A">
        <w:rPr>
          <w:b/>
          <w:bCs/>
          <w:u w:val="single"/>
        </w:rPr>
        <w:t>Section 2 Definitions:</w:t>
      </w:r>
    </w:p>
    <w:p w14:paraId="675588FD" w14:textId="41DFF065" w:rsidR="00514244" w:rsidRPr="0056728C" w:rsidRDefault="002452DA" w:rsidP="42E0D32A">
      <w:pPr>
        <w:tabs>
          <w:tab w:val="left" w:pos="3159"/>
        </w:tabs>
        <w:rPr>
          <w:b/>
          <w:bCs/>
        </w:rPr>
      </w:pPr>
      <w:r w:rsidRPr="0056728C">
        <w:rPr>
          <w:b/>
          <w:bCs/>
        </w:rPr>
        <w:tab/>
      </w:r>
    </w:p>
    <w:p w14:paraId="54FC3E61" w14:textId="7A2E7244" w:rsidR="00F12EC1" w:rsidRPr="00EF3E23" w:rsidRDefault="0002125A" w:rsidP="42E0D32A">
      <w:pPr>
        <w:rPr>
          <w:color w:val="222222"/>
          <w:u w:val="single"/>
          <w:shd w:val="clear" w:color="auto" w:fill="FFFFFF"/>
        </w:rPr>
      </w:pPr>
      <w:r w:rsidRPr="42E0D32A">
        <w:rPr>
          <w:b/>
          <w:bCs/>
          <w:u w:val="single"/>
        </w:rPr>
        <w:t>EV</w:t>
      </w:r>
      <w:r w:rsidR="002D2442" w:rsidRPr="42E0D32A">
        <w:rPr>
          <w:b/>
          <w:bCs/>
          <w:u w:val="single"/>
        </w:rPr>
        <w:t xml:space="preserve"> </w:t>
      </w:r>
      <w:r w:rsidRPr="42E0D32A">
        <w:rPr>
          <w:b/>
          <w:bCs/>
          <w:u w:val="single"/>
        </w:rPr>
        <w:t xml:space="preserve">Capable: </w:t>
      </w:r>
      <w:r w:rsidR="00F12EC1" w:rsidRPr="42E0D32A">
        <w:rPr>
          <w:color w:val="222222"/>
          <w:u w:val="single"/>
          <w:shd w:val="clear" w:color="auto" w:fill="FFFFFF"/>
        </w:rPr>
        <w:t xml:space="preserve"> A parking space linked to a listed electrical panel with sufficient capacity to provide at least 110/120 volts and 20 amperes to the parking space. Raceways linking the electrical panel and parking space only need to </w:t>
      </w:r>
      <w:proofErr w:type="gramStart"/>
      <w:r w:rsidR="00F12EC1" w:rsidRPr="42E0D32A">
        <w:rPr>
          <w:color w:val="222222"/>
          <w:u w:val="single"/>
          <w:shd w:val="clear" w:color="auto" w:fill="FFFFFF"/>
        </w:rPr>
        <w:t>be installed</w:t>
      </w:r>
      <w:proofErr w:type="gramEnd"/>
      <w:r w:rsidR="00F12EC1" w:rsidRPr="42E0D32A">
        <w:rPr>
          <w:color w:val="222222"/>
          <w:u w:val="single"/>
          <w:shd w:val="clear" w:color="auto" w:fill="FFFFFF"/>
        </w:rPr>
        <w:t xml:space="preserve"> in spaces that will be inaccessible in the future, either trenched underground or where penetrations to walls, floors, or other partitions </w:t>
      </w:r>
      <w:r w:rsidR="00F40419" w:rsidRPr="42E0D32A">
        <w:rPr>
          <w:color w:val="222222"/>
          <w:u w:val="single"/>
          <w:shd w:val="clear" w:color="auto" w:fill="FFFFFF"/>
        </w:rPr>
        <w:t>would otherwise be required</w:t>
      </w:r>
      <w:r w:rsidR="00F12EC1" w:rsidRPr="42E0D32A">
        <w:rPr>
          <w:color w:val="222222"/>
          <w:u w:val="single"/>
          <w:shd w:val="clear" w:color="auto" w:fill="FFFFFF"/>
        </w:rPr>
        <w:t xml:space="preserve"> for future installation of branch circuits. Raceways must be at least 1” in diameter and may be sized for multiple circuits as allowed by the California Electrical Code. The panel circuit directory shall identify the overcurrent protective device space(s) reserved for EV charging as “EV CAPABLE.” Construction documents shall </w:t>
      </w:r>
      <w:r w:rsidR="00E35CF3" w:rsidRPr="42E0D32A">
        <w:rPr>
          <w:color w:val="222222"/>
          <w:u w:val="single"/>
          <w:shd w:val="clear" w:color="auto" w:fill="FFFFFF"/>
        </w:rPr>
        <w:t xml:space="preserve">indicate </w:t>
      </w:r>
      <w:r w:rsidR="00F12EC1" w:rsidRPr="42E0D32A">
        <w:rPr>
          <w:color w:val="222222"/>
          <w:u w:val="single"/>
          <w:shd w:val="clear" w:color="auto" w:fill="FFFFFF"/>
        </w:rPr>
        <w:t>future completion of raceway from the panel to the parking space</w:t>
      </w:r>
      <w:r w:rsidR="00E35CF3" w:rsidRPr="42E0D32A">
        <w:rPr>
          <w:color w:val="222222"/>
          <w:u w:val="single"/>
          <w:shd w:val="clear" w:color="auto" w:fill="FFFFFF"/>
        </w:rPr>
        <w:t xml:space="preserve">, via the installed inaccessible raceways. The parking space shall contain signage </w:t>
      </w:r>
      <w:r w:rsidR="5D4F78AE" w:rsidRPr="42E0D32A">
        <w:rPr>
          <w:u w:val="single"/>
        </w:rPr>
        <w:t xml:space="preserve">with at least a ½” font adjacent to the parking space </w:t>
      </w:r>
      <w:r w:rsidR="00E35CF3" w:rsidRPr="42E0D32A">
        <w:rPr>
          <w:color w:val="222222"/>
          <w:u w:val="single"/>
          <w:shd w:val="clear" w:color="auto" w:fill="FFFFFF"/>
        </w:rPr>
        <w:t xml:space="preserve">indicating </w:t>
      </w:r>
      <w:r w:rsidR="5D4F78AE" w:rsidRPr="42E0D32A">
        <w:rPr>
          <w:color w:val="222222"/>
          <w:u w:val="single"/>
        </w:rPr>
        <w:t>the space is designated as EV Capable for future connection of infrastructure at the designed voltage and amperage levels.</w:t>
      </w:r>
    </w:p>
    <w:p w14:paraId="175A7D46" w14:textId="2E223DF9" w:rsidR="6A0ECC48" w:rsidRPr="00A3268F" w:rsidRDefault="6A0ECC48" w:rsidP="42E0D32A">
      <w:pPr>
        <w:rPr>
          <w:u w:val="single"/>
        </w:rPr>
      </w:pPr>
    </w:p>
    <w:p w14:paraId="08715CE6" w14:textId="2AA6FC73" w:rsidR="00C7305A" w:rsidRPr="00A3268F" w:rsidRDefault="41996415" w:rsidP="42E0D32A">
      <w:pPr>
        <w:rPr>
          <w:u w:val="single"/>
        </w:rPr>
      </w:pPr>
      <w:r w:rsidRPr="41996415">
        <w:rPr>
          <w:b/>
          <w:bCs/>
          <w:u w:val="single"/>
        </w:rPr>
        <w:t xml:space="preserve">Level 1 EV Ready Space:  </w:t>
      </w:r>
      <w:r w:rsidRPr="41996415">
        <w:rPr>
          <w:u w:val="single"/>
        </w:rPr>
        <w:t xml:space="preserve">A parking space served by a complete electric circuit with a minimum of 110/120 volt, </w:t>
      </w:r>
      <w:commentRangeStart w:id="1"/>
      <w:r w:rsidRPr="41996415">
        <w:rPr>
          <w:u w:val="single"/>
        </w:rPr>
        <w:t>20-ampere</w:t>
      </w:r>
      <w:commentRangeEnd w:id="1"/>
      <w:r w:rsidR="00C7305A">
        <w:rPr>
          <w:rStyle w:val="CommentReference"/>
        </w:rPr>
        <w:commentReference w:id="1"/>
      </w:r>
      <w:r w:rsidRPr="41996415">
        <w:rPr>
          <w:u w:val="single"/>
        </w:rPr>
        <w:t xml:space="preserve"> capacity including electrical panel capacity, overprotection </w:t>
      </w:r>
      <w:r w:rsidRPr="41996415">
        <w:rPr>
          <w:u w:val="single"/>
        </w:rPr>
        <w:lastRenderedPageBreak/>
        <w:t>device, a minimum 1” diameter raceway that may include multiple circuits as allowed by the California Electrical Code, wiring, and either a) a receptacle labelled “Electric Vehicle Outlet” with at least a ½” font adjacent to the parking space, or b) electric vehicle supply equipment (EVSE).</w:t>
      </w:r>
    </w:p>
    <w:p w14:paraId="62F072DD" w14:textId="77777777" w:rsidR="00514244" w:rsidRPr="00A3268F" w:rsidRDefault="00514244" w:rsidP="42E0D32A">
      <w:pPr>
        <w:rPr>
          <w:u w:val="single"/>
        </w:rPr>
      </w:pPr>
    </w:p>
    <w:p w14:paraId="7F5C9DAB" w14:textId="632F8CA3" w:rsidR="00C7305A" w:rsidRPr="00A3268F" w:rsidRDefault="42E0D32A" w:rsidP="42E0D32A">
      <w:pPr>
        <w:rPr>
          <w:u w:val="single"/>
        </w:rPr>
      </w:pPr>
      <w:r w:rsidRPr="42E0D32A">
        <w:rPr>
          <w:b/>
          <w:bCs/>
          <w:u w:val="single"/>
        </w:rPr>
        <w:t xml:space="preserve">Level 2 EV Ready Space: </w:t>
      </w:r>
      <w:r w:rsidRPr="42E0D32A">
        <w:rPr>
          <w:u w:val="single"/>
        </w:rPr>
        <w:t>A parking space served by a complete electric circuit with 208/240 volt, 40-ampere capacity including electrical panel capacity, overprotection device, a minimum 1” diameter raceway that may include multiple circuits as allowed by the California Electrical Code, wiring, and either a) a receptacle labelled “Electric Vehicle Outlet” with at least a ½” font adjacent to the parking space, or b) electric vehicle supply equipment (EVSE) with a minimum output of 30 amperes.</w:t>
      </w:r>
    </w:p>
    <w:p w14:paraId="1A7217DF" w14:textId="77777777" w:rsidR="00514244" w:rsidRPr="00A3268F" w:rsidRDefault="00514244" w:rsidP="42E0D32A">
      <w:pPr>
        <w:rPr>
          <w:b/>
          <w:bCs/>
          <w:u w:val="single"/>
        </w:rPr>
      </w:pPr>
    </w:p>
    <w:p w14:paraId="19DDEF58" w14:textId="78659C06" w:rsidR="00E5218C" w:rsidRPr="005D1A36" w:rsidRDefault="42E0D32A" w:rsidP="42E0D32A">
      <w:pPr>
        <w:rPr>
          <w:u w:val="single"/>
        </w:rPr>
      </w:pPr>
      <w:r w:rsidRPr="42E0D32A">
        <w:rPr>
          <w:b/>
          <w:bCs/>
          <w:u w:val="single"/>
        </w:rPr>
        <w:t xml:space="preserve">Electric Vehicle Charging Station (EVCS): </w:t>
      </w:r>
      <w:r w:rsidRPr="42E0D32A">
        <w:rPr>
          <w:u w:val="single"/>
        </w:rPr>
        <w:t xml:space="preserve">A parking space that includes installation of electric vehicle supply equipment (EVSE) with a minimum capacity of 30 amperes connected to a circuit serving a Level 2 EV Ready Space. EVCS installation may </w:t>
      </w:r>
      <w:proofErr w:type="gramStart"/>
      <w:r w:rsidRPr="42E0D32A">
        <w:rPr>
          <w:u w:val="single"/>
        </w:rPr>
        <w:t>be used</w:t>
      </w:r>
      <w:proofErr w:type="gramEnd"/>
      <w:r w:rsidRPr="42E0D32A">
        <w:rPr>
          <w:u w:val="single"/>
        </w:rPr>
        <w:t xml:space="preserve"> to satisfy a Level 2 EV Ready Space requirement. Electric vehicle supply equipment (EVSE) shall </w:t>
      </w:r>
      <w:proofErr w:type="gramStart"/>
      <w:r w:rsidRPr="42E0D32A">
        <w:rPr>
          <w:u w:val="single"/>
        </w:rPr>
        <w:t>be installed</w:t>
      </w:r>
      <w:proofErr w:type="gramEnd"/>
      <w:r w:rsidRPr="42E0D32A">
        <w:rPr>
          <w:u w:val="single"/>
        </w:rPr>
        <w:t xml:space="preserve"> in accordance with the California Electrical Code, Article 625.</w:t>
      </w:r>
    </w:p>
    <w:p w14:paraId="6840C5EF" w14:textId="107E28AF" w:rsidR="007D54E2" w:rsidRDefault="007D54E2" w:rsidP="42E0D32A"/>
    <w:p w14:paraId="031F15F2" w14:textId="0FF8D517" w:rsidR="00602496" w:rsidRPr="00D178A6" w:rsidRDefault="426EAEE5" w:rsidP="42E0D32A">
      <w:pPr>
        <w:rPr>
          <w:color w:val="212121"/>
          <w:u w:val="single"/>
        </w:rPr>
      </w:pPr>
      <w:r w:rsidRPr="426EAEE5">
        <w:rPr>
          <w:b/>
          <w:bCs/>
          <w:u w:val="single"/>
        </w:rPr>
        <w:t>Automatic Load Management Systems (ALMS)</w:t>
      </w:r>
      <w:r w:rsidRPr="426EAEE5">
        <w:rPr>
          <w:u w:val="single"/>
        </w:rPr>
        <w:t xml:space="preserve">: </w:t>
      </w:r>
      <w:r w:rsidRPr="426EAEE5">
        <w:rPr>
          <w:color w:val="212121"/>
          <w:u w:val="single"/>
        </w:rPr>
        <w:t xml:space="preserve">A control system which allows multiple EV chargers or EV-Ready electric vehicle outlets to share a circuit or panel and automatically reduce power at each charger, providing the opportunity to reduce electrical infrastructure costs and/or provide demand response capability. ALMS systems must </w:t>
      </w:r>
      <w:proofErr w:type="gramStart"/>
      <w:r w:rsidRPr="426EAEE5">
        <w:rPr>
          <w:color w:val="212121"/>
          <w:u w:val="single"/>
        </w:rPr>
        <w:t>be designed</w:t>
      </w:r>
      <w:proofErr w:type="gramEnd"/>
      <w:r w:rsidRPr="426EAEE5">
        <w:rPr>
          <w:color w:val="212121"/>
          <w:u w:val="single"/>
        </w:rPr>
        <w:t xml:space="preserve"> to deliver a minimum of 8-amperes and not less than 1.4-kiloWatts at the provided voltage, to each EV Capable, EV Ready or EVCS space served by the ALMS, and meet the requirements of California Electrical Code Article 625. The connected amperage on-site shall not be lower than the required connected amperage per Part 11, 2019 California Green Building Code for the relevant building types.</w:t>
      </w:r>
    </w:p>
    <w:p w14:paraId="1C709E3B" w14:textId="308FF78D" w:rsidR="00602496" w:rsidRPr="00D178A6" w:rsidRDefault="00602496" w:rsidP="42E0D32A">
      <w:pPr>
        <w:rPr>
          <w:u w:val="single"/>
        </w:rPr>
      </w:pPr>
    </w:p>
    <w:p w14:paraId="582536A1" w14:textId="618B0EF5" w:rsidR="00835A06" w:rsidRPr="00D178A6" w:rsidRDefault="42E0D32A" w:rsidP="42E0D32A">
      <w:pPr>
        <w:rPr>
          <w:color w:val="212121"/>
          <w:u w:val="single"/>
        </w:rPr>
      </w:pPr>
      <w:bookmarkStart w:id="2" w:name="_Hlk24752031"/>
      <w:r w:rsidRPr="42E0D32A">
        <w:rPr>
          <w:b/>
          <w:bCs/>
          <w:color w:val="212121"/>
          <w:u w:val="single"/>
        </w:rPr>
        <w:t xml:space="preserve">Affordable Housing: </w:t>
      </w:r>
      <w:r w:rsidRPr="42E0D32A">
        <w:rPr>
          <w:color w:val="212121"/>
          <w:u w:val="single"/>
        </w:rPr>
        <w:t xml:space="preserve">Residential buildings that entirely consist of units below market rate and whose rents or sales prices are governed </w:t>
      </w:r>
      <w:r w:rsidR="00DA1436">
        <w:rPr>
          <w:color w:val="212121"/>
          <w:u w:val="single"/>
        </w:rPr>
        <w:t>b</w:t>
      </w:r>
      <w:r w:rsidRPr="42E0D32A">
        <w:rPr>
          <w:color w:val="212121"/>
          <w:u w:val="single"/>
        </w:rPr>
        <w:t xml:space="preserve">y local agencies to be affordable based on area median income. </w:t>
      </w:r>
    </w:p>
    <w:bookmarkEnd w:id="2"/>
    <w:p w14:paraId="656BC625" w14:textId="77777777" w:rsidR="009E5701" w:rsidRPr="005D1A36" w:rsidRDefault="009E5701" w:rsidP="42E0D32A"/>
    <w:p w14:paraId="57F5E921" w14:textId="3FAD327B" w:rsidR="00E5218C" w:rsidRPr="005D1A36" w:rsidRDefault="42E0D32A" w:rsidP="42E0D32A">
      <w:pPr>
        <w:jc w:val="center"/>
        <w:rPr>
          <w:b/>
          <w:bCs/>
        </w:rPr>
      </w:pPr>
      <w:r w:rsidRPr="42E0D32A">
        <w:rPr>
          <w:b/>
          <w:bCs/>
        </w:rPr>
        <w:t>SECTION 4</w:t>
      </w:r>
    </w:p>
    <w:p w14:paraId="0FFD8643" w14:textId="34143E03" w:rsidR="00E5218C" w:rsidRPr="005D1A36" w:rsidRDefault="42E0D32A" w:rsidP="42E0D32A">
      <w:pPr>
        <w:jc w:val="center"/>
        <w:rPr>
          <w:b/>
          <w:bCs/>
        </w:rPr>
      </w:pPr>
      <w:r w:rsidRPr="42E0D32A">
        <w:rPr>
          <w:b/>
          <w:bCs/>
        </w:rPr>
        <w:t>RESIDENTIAL MANDATORY MEASURES</w:t>
      </w:r>
    </w:p>
    <w:p w14:paraId="079BD149" w14:textId="77777777" w:rsidR="009E5701" w:rsidRPr="005D1A36" w:rsidRDefault="009E5701" w:rsidP="42E0D32A">
      <w:pPr>
        <w:jc w:val="center"/>
        <w:rPr>
          <w:b/>
          <w:bCs/>
        </w:rPr>
      </w:pPr>
    </w:p>
    <w:p w14:paraId="028D1E26" w14:textId="31A0C443" w:rsidR="006B1EDA" w:rsidRPr="00B46B32" w:rsidRDefault="006B1EDA" w:rsidP="42E0D32A">
      <w:pPr>
        <w:rPr>
          <w:strike/>
        </w:rPr>
      </w:pPr>
      <w:r w:rsidRPr="42E0D32A">
        <w:rPr>
          <w:b/>
          <w:bCs/>
        </w:rPr>
        <w:t>4.106.4</w:t>
      </w:r>
      <w:r w:rsidRPr="005D1A36">
        <w:rPr>
          <w:b/>
        </w:rPr>
        <w:tab/>
      </w:r>
      <w:r w:rsidRPr="42E0D32A">
        <w:rPr>
          <w:b/>
          <w:bCs/>
        </w:rPr>
        <w:t>Electric vehicle (EV) charging for new construction</w:t>
      </w:r>
      <w:r w:rsidRPr="42E0D32A">
        <w:t>. New construction shall comply with Sections 4.106.4.1</w:t>
      </w:r>
      <w:r w:rsidR="004F0BF8" w:rsidRPr="42E0D32A">
        <w:t>,</w:t>
      </w:r>
      <w:r w:rsidRPr="42E0D32A">
        <w:t xml:space="preserve"> 4.106.4.2</w:t>
      </w:r>
      <w:r w:rsidR="002452DA" w:rsidRPr="42E0D32A">
        <w:t>, or 4.106.4.3</w:t>
      </w:r>
      <w:r w:rsidRPr="42E0D32A">
        <w:t xml:space="preserve"> to facilitate future installation and use of EV chargers.</w:t>
      </w:r>
      <w:r w:rsidR="00A449C2" w:rsidRPr="42E0D32A">
        <w:t xml:space="preserve"> </w:t>
      </w:r>
      <w:r w:rsidRPr="42E0D32A">
        <w:rPr>
          <w:strike/>
        </w:rPr>
        <w:t xml:space="preserve">Electric vehicle supply equipment (EVSE) shall </w:t>
      </w:r>
      <w:proofErr w:type="gramStart"/>
      <w:r w:rsidRPr="42E0D32A">
        <w:rPr>
          <w:strike/>
        </w:rPr>
        <w:t>be installed</w:t>
      </w:r>
      <w:proofErr w:type="gramEnd"/>
      <w:r w:rsidRPr="42E0D32A">
        <w:rPr>
          <w:strike/>
        </w:rPr>
        <w:t xml:space="preserve"> in accordance with the California Electrical Code, Article 625.</w:t>
      </w:r>
    </w:p>
    <w:p w14:paraId="7ACA3A32" w14:textId="77A0DC7E" w:rsidR="00A35DF5" w:rsidRPr="005D1A36" w:rsidRDefault="42E0D32A" w:rsidP="42E0D32A">
      <w:pPr>
        <w:ind w:left="720"/>
        <w:rPr>
          <w:b/>
          <w:bCs/>
        </w:rPr>
      </w:pPr>
      <w:r w:rsidRPr="42E0D32A">
        <w:rPr>
          <w:b/>
          <w:bCs/>
        </w:rPr>
        <w:t xml:space="preserve">Exceptions: </w:t>
      </w:r>
    </w:p>
    <w:p w14:paraId="4C7D4887" w14:textId="77777777" w:rsidR="00A35DF5" w:rsidRPr="00737AC0" w:rsidRDefault="42E0D32A" w:rsidP="009D38ED">
      <w:pPr>
        <w:pStyle w:val="ListParagraph"/>
        <w:numPr>
          <w:ilvl w:val="0"/>
          <w:numId w:val="3"/>
        </w:numPr>
        <w:ind w:left="360"/>
        <w:rPr>
          <w:rFonts w:ascii="Times New Roman" w:eastAsia="Times New Roman" w:hAnsi="Times New Roman" w:cs="Times New Roman"/>
          <w:strike/>
          <w:sz w:val="24"/>
          <w:szCs w:val="24"/>
        </w:rPr>
      </w:pPr>
      <w:r w:rsidRPr="42E0D32A">
        <w:rPr>
          <w:rFonts w:ascii="Times New Roman" w:eastAsia="Times New Roman" w:hAnsi="Times New Roman" w:cs="Times New Roman"/>
          <w:strike/>
          <w:sz w:val="24"/>
          <w:szCs w:val="24"/>
        </w:rPr>
        <w:t>On a case-by-case basis, where the local enforcing agency has determined EV charging and infra- structure are not feasible based upon one or more of the following conditions:</w:t>
      </w:r>
    </w:p>
    <w:p w14:paraId="36E39F83" w14:textId="22F8FAE4" w:rsidR="00D4180E" w:rsidRPr="00737AC0" w:rsidRDefault="42E0D32A" w:rsidP="009D38ED">
      <w:pPr>
        <w:pStyle w:val="ListParagraph"/>
        <w:numPr>
          <w:ilvl w:val="0"/>
          <w:numId w:val="19"/>
        </w:numPr>
        <w:tabs>
          <w:tab w:val="left" w:pos="360"/>
        </w:tabs>
        <w:ind w:hanging="1080"/>
        <w:rPr>
          <w:rFonts w:ascii="Times New Roman" w:eastAsia="Times New Roman" w:hAnsi="Times New Roman" w:cs="Times New Roman"/>
          <w:sz w:val="24"/>
          <w:szCs w:val="24"/>
        </w:rPr>
      </w:pPr>
      <w:r w:rsidRPr="42E0D32A">
        <w:rPr>
          <w:rFonts w:ascii="Times New Roman" w:eastAsia="Times New Roman" w:hAnsi="Times New Roman" w:cs="Times New Roman"/>
          <w:sz w:val="24"/>
          <w:szCs w:val="24"/>
        </w:rPr>
        <w:t>Where there is no commercial power supply</w:t>
      </w:r>
    </w:p>
    <w:p w14:paraId="7D543D67" w14:textId="3BEAB9B8" w:rsidR="001E654B" w:rsidRPr="002B5557" w:rsidRDefault="42E0D32A" w:rsidP="009D38ED">
      <w:pPr>
        <w:pStyle w:val="ListParagraph"/>
        <w:numPr>
          <w:ilvl w:val="1"/>
          <w:numId w:val="19"/>
        </w:numPr>
        <w:ind w:left="792"/>
        <w:rPr>
          <w:rFonts w:ascii="Times New Roman" w:eastAsia="Times New Roman" w:hAnsi="Times New Roman" w:cs="Times New Roman"/>
          <w:strike/>
          <w:sz w:val="24"/>
          <w:szCs w:val="24"/>
        </w:rPr>
      </w:pPr>
      <w:r w:rsidRPr="42E0D32A">
        <w:rPr>
          <w:rFonts w:ascii="Times New Roman" w:eastAsia="Times New Roman" w:hAnsi="Times New Roman" w:cs="Times New Roman"/>
          <w:strike/>
          <w:sz w:val="24"/>
          <w:szCs w:val="24"/>
        </w:rPr>
        <w:t xml:space="preserve">Where there is evidence substantiating that meeting the requirements will alter the local utility infra- structure design requirements on the utility side of the meter </w:t>
      </w:r>
      <w:proofErr w:type="gramStart"/>
      <w:r w:rsidRPr="42E0D32A">
        <w:rPr>
          <w:rFonts w:ascii="Times New Roman" w:eastAsia="Times New Roman" w:hAnsi="Times New Roman" w:cs="Times New Roman"/>
          <w:strike/>
          <w:sz w:val="24"/>
          <w:szCs w:val="24"/>
        </w:rPr>
        <w:t>so as to</w:t>
      </w:r>
      <w:proofErr w:type="gramEnd"/>
      <w:r w:rsidRPr="42E0D32A">
        <w:rPr>
          <w:rFonts w:ascii="Times New Roman" w:eastAsia="Times New Roman" w:hAnsi="Times New Roman" w:cs="Times New Roman"/>
          <w:strike/>
          <w:sz w:val="24"/>
          <w:szCs w:val="24"/>
        </w:rPr>
        <w:t xml:space="preserve"> </w:t>
      </w:r>
      <w:r w:rsidRPr="42E0D32A">
        <w:rPr>
          <w:rFonts w:ascii="Times New Roman" w:eastAsia="Times New Roman" w:hAnsi="Times New Roman" w:cs="Times New Roman"/>
          <w:strike/>
          <w:sz w:val="24"/>
          <w:szCs w:val="24"/>
        </w:rPr>
        <w:lastRenderedPageBreak/>
        <w:t>increase the utility side cost to the homeowner or the developer by more than $400.00 per dwelling unit.</w:t>
      </w:r>
    </w:p>
    <w:p w14:paraId="09996E73" w14:textId="062C4647" w:rsidR="00880EB4" w:rsidRPr="009306A1" w:rsidRDefault="42E0D32A" w:rsidP="009D38ED">
      <w:pPr>
        <w:pStyle w:val="ListParagraph"/>
        <w:numPr>
          <w:ilvl w:val="0"/>
          <w:numId w:val="19"/>
        </w:numPr>
        <w:ind w:left="360"/>
        <w:contextualSpacing w:val="0"/>
        <w:rPr>
          <w:rFonts w:ascii="Times New Roman" w:eastAsia="Times New Roman" w:hAnsi="Times New Roman" w:cs="Times New Roman"/>
          <w:sz w:val="24"/>
          <w:szCs w:val="24"/>
        </w:rPr>
      </w:pPr>
      <w:r w:rsidRPr="42E0D32A">
        <w:rPr>
          <w:rFonts w:ascii="Times New Roman" w:eastAsia="Times New Roman" w:hAnsi="Times New Roman" w:cs="Times New Roman"/>
          <w:sz w:val="24"/>
          <w:szCs w:val="24"/>
        </w:rPr>
        <w:t>Accessory Dwelling Units (ADU) and Junior Accessory Dwelling Units (JADU) without additional parking facilities</w:t>
      </w:r>
      <w:r w:rsidRPr="42E0D32A">
        <w:rPr>
          <w:rFonts w:ascii="Times New Roman" w:eastAsia="Times New Roman" w:hAnsi="Times New Roman" w:cs="Times New Roman"/>
          <w:sz w:val="24"/>
          <w:szCs w:val="24"/>
          <w:u w:val="single"/>
        </w:rPr>
        <w:t xml:space="preserve"> and without electrical panel upgrade or new panel installation. ADUs and JADUs without additional parking but with electrical panel upgrades or new panels must have reserved breakers and electrical capacity according to the requirements of 4.106.4.1.</w:t>
      </w:r>
    </w:p>
    <w:p w14:paraId="1970C873" w14:textId="795F95F7" w:rsidR="003D00E8" w:rsidRPr="003D00E8" w:rsidRDefault="4A57446F" w:rsidP="009D38ED">
      <w:pPr>
        <w:pStyle w:val="ListParagraph"/>
        <w:numPr>
          <w:ilvl w:val="0"/>
          <w:numId w:val="19"/>
        </w:numPr>
        <w:ind w:left="360"/>
        <w:rPr>
          <w:rFonts w:eastAsiaTheme="minorEastAsia"/>
          <w:sz w:val="24"/>
          <w:szCs w:val="24"/>
          <w:u w:val="single"/>
        </w:rPr>
      </w:pPr>
      <w:bookmarkStart w:id="3" w:name="_Hlk52459948"/>
      <w:r w:rsidRPr="4A57446F">
        <w:rPr>
          <w:rFonts w:ascii="Times New Roman" w:eastAsia="Times New Roman" w:hAnsi="Times New Roman" w:cs="Times New Roman"/>
          <w:sz w:val="24"/>
          <w:szCs w:val="24"/>
          <w:u w:val="single"/>
        </w:rPr>
        <w:t xml:space="preserve">Multifamily residential building projects with valid entitlements granted by the City that have not otherwise expired before the effective date of this ordinance shall provide at least ten (10) percent of the total number of parking spaces on a building site, provided for all types of parking facilities, with Level 2 EV Ready Circuits. Calculations for the required number of EV spaces shall </w:t>
      </w:r>
      <w:proofErr w:type="gramStart"/>
      <w:r w:rsidRPr="4A57446F">
        <w:rPr>
          <w:rFonts w:ascii="Times New Roman" w:eastAsia="Times New Roman" w:hAnsi="Times New Roman" w:cs="Times New Roman"/>
          <w:sz w:val="24"/>
          <w:szCs w:val="24"/>
          <w:u w:val="single"/>
        </w:rPr>
        <w:t>be rounded</w:t>
      </w:r>
      <w:proofErr w:type="gramEnd"/>
      <w:r w:rsidRPr="4A57446F">
        <w:rPr>
          <w:rFonts w:ascii="Times New Roman" w:eastAsia="Times New Roman" w:hAnsi="Times New Roman" w:cs="Times New Roman"/>
          <w:sz w:val="24"/>
          <w:szCs w:val="24"/>
          <w:u w:val="single"/>
        </w:rPr>
        <w:t xml:space="preserve"> up to the nearest whole number. </w:t>
      </w:r>
    </w:p>
    <w:bookmarkEnd w:id="3"/>
    <w:p w14:paraId="643DE8EF" w14:textId="02E4201E" w:rsidR="003D00E8" w:rsidRPr="003D00E8" w:rsidRDefault="6538F3BF" w:rsidP="009D38ED">
      <w:pPr>
        <w:pStyle w:val="ListParagraph"/>
        <w:numPr>
          <w:ilvl w:val="0"/>
          <w:numId w:val="19"/>
        </w:numPr>
        <w:ind w:left="360"/>
        <w:rPr>
          <w:rFonts w:ascii="Times New Roman" w:eastAsia="Times New Roman" w:hAnsi="Times New Roman" w:cs="Times New Roman"/>
          <w:sz w:val="24"/>
          <w:szCs w:val="24"/>
          <w:u w:val="single"/>
        </w:rPr>
      </w:pPr>
      <w:r w:rsidRPr="6538F3BF">
        <w:rPr>
          <w:rFonts w:ascii="Times New Roman" w:eastAsia="Times New Roman" w:hAnsi="Times New Roman" w:cs="Times New Roman"/>
          <w:sz w:val="24"/>
          <w:szCs w:val="24"/>
          <w:u w:val="single"/>
        </w:rPr>
        <w:t xml:space="preserve">Local jurisdictions may consider allowing exceptions through their local process, on a </w:t>
      </w:r>
      <w:proofErr w:type="gramStart"/>
      <w:r w:rsidRPr="6538F3BF">
        <w:rPr>
          <w:rFonts w:ascii="Times New Roman" w:eastAsia="Times New Roman" w:hAnsi="Times New Roman" w:cs="Times New Roman"/>
          <w:sz w:val="24"/>
          <w:szCs w:val="24"/>
          <w:u w:val="single"/>
        </w:rPr>
        <w:t>case by case</w:t>
      </w:r>
      <w:proofErr w:type="gramEnd"/>
      <w:r w:rsidRPr="6538F3BF">
        <w:rPr>
          <w:rFonts w:ascii="Times New Roman" w:eastAsia="Times New Roman" w:hAnsi="Times New Roman" w:cs="Times New Roman"/>
          <w:sz w:val="24"/>
          <w:szCs w:val="24"/>
          <w:u w:val="single"/>
        </w:rPr>
        <w:t xml:space="preserve"> basis, if a building permit applicant provides documentation detailing that the increased cost of utility service or on-site transformer capacity would exceed an average of $4,500 among parking spaces with Level 2 EV Ready Spaces and Level 1 EV Ready Spaces. If costs </w:t>
      </w:r>
      <w:proofErr w:type="gramStart"/>
      <w:r w:rsidRPr="6538F3BF">
        <w:rPr>
          <w:rFonts w:ascii="Times New Roman" w:eastAsia="Times New Roman" w:hAnsi="Times New Roman" w:cs="Times New Roman"/>
          <w:sz w:val="24"/>
          <w:szCs w:val="24"/>
          <w:u w:val="single"/>
        </w:rPr>
        <w:t>are found</w:t>
      </w:r>
      <w:proofErr w:type="gramEnd"/>
      <w:r w:rsidRPr="6538F3BF">
        <w:rPr>
          <w:rFonts w:ascii="Times New Roman" w:eastAsia="Times New Roman" w:hAnsi="Times New Roman" w:cs="Times New Roman"/>
          <w:sz w:val="24"/>
          <w:szCs w:val="24"/>
          <w:u w:val="single"/>
        </w:rPr>
        <w:t xml:space="preserve"> to exceed this level, the applicant shall provide EV infrastructure up to a level that would not exceed this cost for utility service or on-site transformer capacity.</w:t>
      </w:r>
    </w:p>
    <w:p w14:paraId="5E2EDCB6" w14:textId="77777777" w:rsidR="007122FD" w:rsidRPr="005D1A36" w:rsidRDefault="006B1EDA" w:rsidP="42E0D32A">
      <w:pPr>
        <w:ind w:left="720"/>
      </w:pPr>
      <w:r w:rsidRPr="42E0D32A">
        <w:rPr>
          <w:b/>
          <w:bCs/>
        </w:rPr>
        <w:t>4.106.4.1</w:t>
      </w:r>
      <w:r w:rsidRPr="005D1A36">
        <w:rPr>
          <w:b/>
        </w:rPr>
        <w:tab/>
      </w:r>
      <w:r w:rsidRPr="42E0D32A">
        <w:rPr>
          <w:b/>
          <w:bCs/>
        </w:rPr>
        <w:t>New one- and two-family dwellings and town- houses with attached private garages.</w:t>
      </w:r>
      <w:r w:rsidRPr="42E0D32A">
        <w:t xml:space="preserve"> </w:t>
      </w:r>
    </w:p>
    <w:p w14:paraId="6EF02B69" w14:textId="4FFC5F12" w:rsidR="00C7305A" w:rsidRPr="005D1A36" w:rsidRDefault="42E0D32A" w:rsidP="42E0D32A">
      <w:pPr>
        <w:ind w:left="720"/>
        <w:rPr>
          <w:strike/>
        </w:rPr>
      </w:pPr>
      <w:r w:rsidRPr="42E0D32A">
        <w:t xml:space="preserve">For each dwelling unit, install a </w:t>
      </w:r>
      <w:r w:rsidRPr="42E0D32A">
        <w:rPr>
          <w:u w:val="single"/>
        </w:rPr>
        <w:t xml:space="preserve">Level 2 EV Ready Space and Level 1 EV Ready Space. </w:t>
      </w:r>
      <w:r w:rsidRPr="42E0D32A">
        <w:rPr>
          <w:strike/>
        </w:rPr>
        <w:t>listed raceway to accommodate a dedicated 208/240-volt branch circuit. The raceway shall not be less than trade size 1 (nominal 1-inch inside diameter). The raceway shall originate at the main service or</w:t>
      </w:r>
      <w:r w:rsidRPr="42E0D32A">
        <w:t xml:space="preserve"> </w:t>
      </w:r>
      <w:r w:rsidRPr="42E0D32A">
        <w:rPr>
          <w:strike/>
        </w:rPr>
        <w:t>subpanel</w:t>
      </w:r>
      <w:r w:rsidRPr="42E0D32A">
        <w:t xml:space="preserve"> </w:t>
      </w:r>
      <w:r w:rsidRPr="42E0D32A">
        <w:rPr>
          <w:strike/>
        </w:rPr>
        <w:t>and</w:t>
      </w:r>
      <w:r w:rsidRPr="42E0D32A">
        <w:t xml:space="preserve"> </w:t>
      </w:r>
      <w:r w:rsidRPr="42E0D32A">
        <w:rPr>
          <w:strike/>
        </w:rPr>
        <w:t xml:space="preserve">shall terminate into a listed cabinet, </w:t>
      </w:r>
      <w:proofErr w:type="gramStart"/>
      <w:r w:rsidRPr="42E0D32A">
        <w:rPr>
          <w:strike/>
        </w:rPr>
        <w:t>box</w:t>
      </w:r>
      <w:proofErr w:type="gramEnd"/>
      <w:r w:rsidRPr="42E0D32A">
        <w:rPr>
          <w:strike/>
        </w:rPr>
        <w:t xml:space="preserve"> or other enclosure in close proximity to the proposed location of an EV char- ger. Raceways are required to be continuous at enclosed, inaccessible or concealed areas and spaces. The service panel and/or subpanel shall provide capacity to install a 40-ampere minimum dedicated branch circuit and space(s) reserved to permit installation of a branch circuit overcurrent protective device.</w:t>
      </w:r>
    </w:p>
    <w:p w14:paraId="46953CF0" w14:textId="77777777" w:rsidR="00F40419" w:rsidRPr="005D1A36" w:rsidRDefault="00F40419" w:rsidP="42E0D32A">
      <w:pPr>
        <w:ind w:left="720"/>
        <w:rPr>
          <w:strike/>
        </w:rPr>
      </w:pPr>
    </w:p>
    <w:p w14:paraId="30853EAE" w14:textId="1FD8270F" w:rsidR="006B1EDA" w:rsidRPr="0069356C" w:rsidRDefault="42E0D32A" w:rsidP="42E0D32A">
      <w:pPr>
        <w:ind w:left="1440"/>
        <w:rPr>
          <w:u w:val="single"/>
        </w:rPr>
      </w:pPr>
      <w:r w:rsidRPr="42E0D32A">
        <w:rPr>
          <w:b/>
          <w:bCs/>
          <w:u w:val="single"/>
        </w:rPr>
        <w:t xml:space="preserve">Exception: </w:t>
      </w:r>
      <w:r w:rsidRPr="42E0D32A">
        <w:rPr>
          <w:u w:val="single"/>
        </w:rPr>
        <w:t xml:space="preserve">For each dwelling unit with only one parking space, install a Level 2 EV Ready Space. </w:t>
      </w:r>
    </w:p>
    <w:p w14:paraId="32579A9D" w14:textId="77777777" w:rsidR="0069356C" w:rsidRPr="00A3268F" w:rsidRDefault="0069356C" w:rsidP="42E0D32A">
      <w:pPr>
        <w:ind w:left="1440"/>
        <w:rPr>
          <w:strike/>
        </w:rPr>
      </w:pPr>
    </w:p>
    <w:p w14:paraId="1D0B6260" w14:textId="6240A2B7" w:rsidR="006B1EDA" w:rsidRPr="00A3268F" w:rsidRDefault="42E0D32A" w:rsidP="42E0D32A">
      <w:pPr>
        <w:ind w:left="1440"/>
        <w:rPr>
          <w:strike/>
          <w:u w:val="single"/>
        </w:rPr>
      </w:pPr>
      <w:r w:rsidRPr="42E0D32A">
        <w:rPr>
          <w:b/>
          <w:bCs/>
        </w:rPr>
        <w:t>4.106.4.1.1 Identification.</w:t>
      </w:r>
      <w:r w:rsidRPr="42E0D32A">
        <w:rPr>
          <w:strike/>
        </w:rPr>
        <w:t xml:space="preserve"> The service panel or sub- panel circuit directory shall identify the overcurrent protective device space(s) reserved for future EV charging as “Level 2 EV CAPABLE”. </w:t>
      </w:r>
      <w:r w:rsidRPr="42E0D32A">
        <w:t xml:space="preserve">The raceway termination location shall </w:t>
      </w:r>
      <w:proofErr w:type="gramStart"/>
      <w:r w:rsidRPr="42E0D32A">
        <w:t>be permanently and visibly marked</w:t>
      </w:r>
      <w:proofErr w:type="gramEnd"/>
      <w:r w:rsidRPr="42E0D32A">
        <w:t xml:space="preserve"> as </w:t>
      </w:r>
      <w:r w:rsidRPr="42E0D32A">
        <w:rPr>
          <w:strike/>
        </w:rPr>
        <w:t>“EV CAPABLE”.</w:t>
      </w:r>
      <w:r w:rsidRPr="42E0D32A">
        <w:t xml:space="preserve">  “Level 2 EV-</w:t>
      </w:r>
      <w:r w:rsidRPr="42E0D32A">
        <w:rPr>
          <w:u w:val="single"/>
        </w:rPr>
        <w:t xml:space="preserve">Ready”. </w:t>
      </w:r>
    </w:p>
    <w:p w14:paraId="1354BD61" w14:textId="77777777" w:rsidR="002C4783" w:rsidRPr="005D1A36" w:rsidRDefault="002C4783" w:rsidP="42E0D32A">
      <w:pPr>
        <w:ind w:left="1440"/>
      </w:pPr>
    </w:p>
    <w:p w14:paraId="39B7A9DA" w14:textId="0E6EF1F6" w:rsidR="3A069F0F" w:rsidRPr="00A658EA" w:rsidRDefault="41996415" w:rsidP="42E0D32A">
      <w:pPr>
        <w:ind w:left="720"/>
        <w:rPr>
          <w:b/>
          <w:bCs/>
          <w:u w:val="single"/>
        </w:rPr>
      </w:pPr>
      <w:r w:rsidRPr="41996415">
        <w:rPr>
          <w:b/>
          <w:bCs/>
        </w:rPr>
        <w:t>4.106.4.2</w:t>
      </w:r>
      <w:r w:rsidR="006B1EDA">
        <w:tab/>
      </w:r>
      <w:r w:rsidRPr="41996415">
        <w:rPr>
          <w:b/>
          <w:bCs/>
        </w:rPr>
        <w:t>New multifamily dwellings.</w:t>
      </w:r>
      <w:r w:rsidRPr="41996415">
        <w:t xml:space="preserve"> </w:t>
      </w:r>
      <w:r w:rsidRPr="41996415">
        <w:rPr>
          <w:strike/>
        </w:rPr>
        <w:t xml:space="preserve">If residential parking is available, ten (10) </w:t>
      </w:r>
      <w:proofErr w:type="gramStart"/>
      <w:r w:rsidRPr="41996415">
        <w:rPr>
          <w:strike/>
        </w:rPr>
        <w:t>present</w:t>
      </w:r>
      <w:proofErr w:type="gramEnd"/>
      <w:r w:rsidRPr="41996415">
        <w:rPr>
          <w:strike/>
        </w:rPr>
        <w:t xml:space="preserve"> in total number of parking spaces on a building site, provided for all types of parking facilities, shall be electric vehicle charging spaces (EV spaces) capable of supporting future EVSE. Calculations for the required number of EV spaces shall </w:t>
      </w:r>
      <w:proofErr w:type="gramStart"/>
      <w:r w:rsidRPr="41996415">
        <w:rPr>
          <w:strike/>
        </w:rPr>
        <w:t xml:space="preserve">be </w:t>
      </w:r>
      <w:r w:rsidRPr="41996415">
        <w:rPr>
          <w:strike/>
        </w:rPr>
        <w:lastRenderedPageBreak/>
        <w:t>rounded</w:t>
      </w:r>
      <w:proofErr w:type="gramEnd"/>
      <w:r w:rsidRPr="41996415">
        <w:rPr>
          <w:strike/>
        </w:rPr>
        <w:t xml:space="preserve"> up to the nearest whole number. </w:t>
      </w:r>
      <w:r w:rsidRPr="41996415">
        <w:t xml:space="preserve"> </w:t>
      </w:r>
      <w:r w:rsidRPr="41996415">
        <w:rPr>
          <w:u w:val="single"/>
        </w:rPr>
        <w:t xml:space="preserve"> The following requirements apply to all new multifamily dwellings.</w:t>
      </w:r>
    </w:p>
    <w:p w14:paraId="07D0DC11" w14:textId="425F250B" w:rsidR="00DD6D5B" w:rsidRPr="0069356C" w:rsidRDefault="42E0D32A" w:rsidP="009D38ED">
      <w:pPr>
        <w:pStyle w:val="ListParagraph"/>
        <w:numPr>
          <w:ilvl w:val="0"/>
          <w:numId w:val="5"/>
        </w:numPr>
        <w:contextualSpacing w:val="0"/>
        <w:rPr>
          <w:rFonts w:ascii="Times New Roman" w:eastAsia="Times New Roman" w:hAnsi="Times New Roman" w:cs="Times New Roman"/>
          <w:sz w:val="24"/>
          <w:szCs w:val="24"/>
          <w:u w:val="single"/>
        </w:rPr>
      </w:pPr>
      <w:r w:rsidRPr="42E0D32A">
        <w:rPr>
          <w:rFonts w:ascii="Times New Roman" w:eastAsia="Times New Roman" w:hAnsi="Times New Roman" w:cs="Times New Roman"/>
          <w:sz w:val="24"/>
          <w:szCs w:val="24"/>
          <w:u w:val="single"/>
        </w:rPr>
        <w:t xml:space="preserve">For multifamily buildings with less than or equal to 20 dwelling units, one parking space per dwelling unit with parking shall </w:t>
      </w:r>
      <w:proofErr w:type="gramStart"/>
      <w:r w:rsidRPr="42E0D32A">
        <w:rPr>
          <w:rFonts w:ascii="Times New Roman" w:eastAsia="Times New Roman" w:hAnsi="Times New Roman" w:cs="Times New Roman"/>
          <w:sz w:val="24"/>
          <w:szCs w:val="24"/>
          <w:u w:val="single"/>
        </w:rPr>
        <w:t>be provided</w:t>
      </w:r>
      <w:proofErr w:type="gramEnd"/>
      <w:r w:rsidRPr="42E0D32A">
        <w:rPr>
          <w:rFonts w:ascii="Times New Roman" w:eastAsia="Times New Roman" w:hAnsi="Times New Roman" w:cs="Times New Roman"/>
          <w:sz w:val="24"/>
          <w:szCs w:val="24"/>
          <w:u w:val="single"/>
        </w:rPr>
        <w:t xml:space="preserve"> with a Level 2 EV Ready Space. </w:t>
      </w:r>
    </w:p>
    <w:p w14:paraId="0373F106" w14:textId="1F4A6982" w:rsidR="00EF391A" w:rsidRPr="00D144A9" w:rsidRDefault="42E0D32A" w:rsidP="009D38ED">
      <w:pPr>
        <w:pStyle w:val="ListParagraph"/>
        <w:numPr>
          <w:ilvl w:val="0"/>
          <w:numId w:val="5"/>
        </w:numPr>
        <w:contextualSpacing w:val="0"/>
        <w:rPr>
          <w:rFonts w:ascii="Times New Roman" w:eastAsia="Times New Roman" w:hAnsi="Times New Roman" w:cs="Times New Roman"/>
          <w:sz w:val="24"/>
          <w:szCs w:val="24"/>
          <w:u w:val="single"/>
        </w:rPr>
      </w:pPr>
      <w:r w:rsidRPr="42E0D32A">
        <w:rPr>
          <w:rFonts w:ascii="Times New Roman" w:eastAsia="Times New Roman" w:hAnsi="Times New Roman" w:cs="Times New Roman"/>
          <w:sz w:val="24"/>
          <w:szCs w:val="24"/>
          <w:u w:val="single"/>
        </w:rPr>
        <w:t xml:space="preserve">When more than 20 multifamily dwelling units </w:t>
      </w:r>
      <w:proofErr w:type="gramStart"/>
      <w:r w:rsidRPr="42E0D32A">
        <w:rPr>
          <w:rFonts w:ascii="Times New Roman" w:eastAsia="Times New Roman" w:hAnsi="Times New Roman" w:cs="Times New Roman"/>
          <w:sz w:val="24"/>
          <w:szCs w:val="24"/>
          <w:u w:val="single"/>
        </w:rPr>
        <w:t>are constructed</w:t>
      </w:r>
      <w:proofErr w:type="gramEnd"/>
      <w:r w:rsidRPr="42E0D32A">
        <w:rPr>
          <w:rFonts w:ascii="Times New Roman" w:eastAsia="Times New Roman" w:hAnsi="Times New Roman" w:cs="Times New Roman"/>
          <w:sz w:val="24"/>
          <w:szCs w:val="24"/>
          <w:u w:val="single"/>
        </w:rPr>
        <w:t xml:space="preserve"> on a building site:</w:t>
      </w:r>
    </w:p>
    <w:p w14:paraId="2670F195" w14:textId="24CD5DF4" w:rsidR="004D0F36" w:rsidRPr="004D0F36" w:rsidRDefault="42E0D32A" w:rsidP="009D38ED">
      <w:pPr>
        <w:pStyle w:val="ListParagraph"/>
        <w:numPr>
          <w:ilvl w:val="0"/>
          <w:numId w:val="6"/>
        </w:numPr>
        <w:contextualSpacing w:val="0"/>
        <w:rPr>
          <w:rFonts w:ascii="Times New Roman" w:eastAsia="Times New Roman" w:hAnsi="Times New Roman" w:cs="Times New Roman"/>
          <w:sz w:val="24"/>
          <w:szCs w:val="24"/>
          <w:u w:val="single"/>
        </w:rPr>
      </w:pPr>
      <w:r w:rsidRPr="42E0D32A">
        <w:rPr>
          <w:rFonts w:ascii="Times New Roman" w:eastAsia="Times New Roman" w:hAnsi="Times New Roman" w:cs="Times New Roman"/>
          <w:sz w:val="24"/>
          <w:szCs w:val="24"/>
          <w:u w:val="single"/>
        </w:rPr>
        <w:t>Install one Level 2 EV Ready Space in the first 20 dwelling unit parking spaces.</w:t>
      </w:r>
    </w:p>
    <w:p w14:paraId="05D484DC" w14:textId="019A7534" w:rsidR="00EF391A" w:rsidRPr="00D144A9" w:rsidRDefault="42E0D32A" w:rsidP="009D38ED">
      <w:pPr>
        <w:pStyle w:val="ListParagraph"/>
        <w:numPr>
          <w:ilvl w:val="0"/>
          <w:numId w:val="6"/>
        </w:numPr>
        <w:contextualSpacing w:val="0"/>
        <w:rPr>
          <w:rFonts w:ascii="Times New Roman" w:eastAsia="Times New Roman" w:hAnsi="Times New Roman" w:cs="Times New Roman"/>
          <w:sz w:val="24"/>
          <w:szCs w:val="24"/>
          <w:u w:val="single"/>
        </w:rPr>
      </w:pPr>
      <w:r w:rsidRPr="42E0D32A">
        <w:rPr>
          <w:rFonts w:ascii="Times New Roman" w:eastAsia="Times New Roman" w:hAnsi="Times New Roman" w:cs="Times New Roman"/>
          <w:sz w:val="24"/>
          <w:szCs w:val="24"/>
          <w:u w:val="single"/>
        </w:rPr>
        <w:t xml:space="preserve">For each additional dwelling unit over 20, 25% of the dwelling units with parking space(s) shall </w:t>
      </w:r>
      <w:proofErr w:type="gramStart"/>
      <w:r w:rsidRPr="42E0D32A">
        <w:rPr>
          <w:rFonts w:ascii="Times New Roman" w:eastAsia="Times New Roman" w:hAnsi="Times New Roman" w:cs="Times New Roman"/>
          <w:sz w:val="24"/>
          <w:szCs w:val="24"/>
          <w:u w:val="single"/>
        </w:rPr>
        <w:t>be provided</w:t>
      </w:r>
      <w:proofErr w:type="gramEnd"/>
      <w:r w:rsidRPr="42E0D32A">
        <w:rPr>
          <w:rFonts w:ascii="Times New Roman" w:eastAsia="Times New Roman" w:hAnsi="Times New Roman" w:cs="Times New Roman"/>
          <w:sz w:val="24"/>
          <w:szCs w:val="24"/>
          <w:u w:val="single"/>
        </w:rPr>
        <w:t xml:space="preserve"> with at least one Level 2 EV Ready Space. Calculations for the required minimum number of Level 2 EV Ready spaces shall </w:t>
      </w:r>
      <w:proofErr w:type="gramStart"/>
      <w:r w:rsidRPr="42E0D32A">
        <w:rPr>
          <w:rFonts w:ascii="Times New Roman" w:eastAsia="Times New Roman" w:hAnsi="Times New Roman" w:cs="Times New Roman"/>
          <w:sz w:val="24"/>
          <w:szCs w:val="24"/>
          <w:u w:val="single"/>
        </w:rPr>
        <w:t>be rounded</w:t>
      </w:r>
      <w:proofErr w:type="gramEnd"/>
      <w:r w:rsidRPr="42E0D32A">
        <w:rPr>
          <w:rFonts w:ascii="Times New Roman" w:eastAsia="Times New Roman" w:hAnsi="Times New Roman" w:cs="Times New Roman"/>
          <w:sz w:val="24"/>
          <w:szCs w:val="24"/>
          <w:u w:val="single"/>
        </w:rPr>
        <w:t xml:space="preserve"> up to the nearest whole number. </w:t>
      </w:r>
    </w:p>
    <w:p w14:paraId="3D3ACAE5" w14:textId="77777777" w:rsidR="00A658EA" w:rsidRDefault="42E0D32A" w:rsidP="009D38ED">
      <w:pPr>
        <w:pStyle w:val="ListParagraph"/>
        <w:numPr>
          <w:ilvl w:val="0"/>
          <w:numId w:val="6"/>
        </w:numPr>
        <w:contextualSpacing w:val="0"/>
        <w:rPr>
          <w:rFonts w:ascii="Times New Roman" w:eastAsia="Times New Roman" w:hAnsi="Times New Roman" w:cs="Times New Roman"/>
          <w:sz w:val="24"/>
          <w:szCs w:val="24"/>
          <w:u w:val="single"/>
        </w:rPr>
      </w:pPr>
      <w:r w:rsidRPr="42E0D32A">
        <w:rPr>
          <w:rFonts w:ascii="Times New Roman" w:eastAsia="Times New Roman" w:hAnsi="Times New Roman" w:cs="Times New Roman"/>
          <w:sz w:val="24"/>
          <w:szCs w:val="24"/>
          <w:u w:val="single"/>
        </w:rPr>
        <w:t xml:space="preserve">In addition, each remaining dwelling unit with parking space(s) shall </w:t>
      </w:r>
      <w:proofErr w:type="gramStart"/>
      <w:r w:rsidRPr="42E0D32A">
        <w:rPr>
          <w:rFonts w:ascii="Times New Roman" w:eastAsia="Times New Roman" w:hAnsi="Times New Roman" w:cs="Times New Roman"/>
          <w:sz w:val="24"/>
          <w:szCs w:val="24"/>
          <w:u w:val="single"/>
        </w:rPr>
        <w:t>be provided</w:t>
      </w:r>
      <w:proofErr w:type="gramEnd"/>
      <w:r w:rsidRPr="42E0D32A">
        <w:rPr>
          <w:rFonts w:ascii="Times New Roman" w:eastAsia="Times New Roman" w:hAnsi="Times New Roman" w:cs="Times New Roman"/>
          <w:sz w:val="24"/>
          <w:szCs w:val="24"/>
          <w:u w:val="single"/>
        </w:rPr>
        <w:t xml:space="preserve"> with at least a Level 1 EV Ready Space.</w:t>
      </w:r>
    </w:p>
    <w:p w14:paraId="246B7EF2" w14:textId="77777777" w:rsidR="002C4783" w:rsidRPr="005D1A36" w:rsidRDefault="002C4783" w:rsidP="42E0D32A">
      <w:pPr>
        <w:ind w:left="1800"/>
      </w:pPr>
    </w:p>
    <w:p w14:paraId="25DF9AAD" w14:textId="76D6043D" w:rsidR="00D35C36" w:rsidRPr="00D144A9" w:rsidRDefault="42E0D32A" w:rsidP="42E0D32A">
      <w:pPr>
        <w:ind w:left="1440"/>
        <w:rPr>
          <w:u w:val="single"/>
        </w:rPr>
      </w:pPr>
      <w:r w:rsidRPr="42E0D32A">
        <w:rPr>
          <w:b/>
          <w:bCs/>
          <w:u w:val="single"/>
        </w:rPr>
        <w:t>Exception:</w:t>
      </w:r>
      <w:r w:rsidRPr="42E0D32A">
        <w:rPr>
          <w:u w:val="single"/>
        </w:rPr>
        <w:t xml:space="preserve"> For all multifamily Affordable housing, 10% of dwelling units with parking space(s) shall </w:t>
      </w:r>
      <w:proofErr w:type="gramStart"/>
      <w:r w:rsidRPr="42E0D32A">
        <w:rPr>
          <w:u w:val="single"/>
        </w:rPr>
        <w:t>be provided</w:t>
      </w:r>
      <w:proofErr w:type="gramEnd"/>
      <w:r w:rsidRPr="42E0D32A">
        <w:rPr>
          <w:u w:val="single"/>
        </w:rPr>
        <w:t xml:space="preserve"> with at least one Level 2 EV Ready Space. Calculations for the required minimum number of Level 2 EV Ready spaces shall </w:t>
      </w:r>
      <w:proofErr w:type="gramStart"/>
      <w:r w:rsidRPr="42E0D32A">
        <w:rPr>
          <w:u w:val="single"/>
        </w:rPr>
        <w:t>be rounded</w:t>
      </w:r>
      <w:proofErr w:type="gramEnd"/>
      <w:r w:rsidRPr="42E0D32A">
        <w:rPr>
          <w:u w:val="single"/>
        </w:rPr>
        <w:t xml:space="preserve"> up to the nearest whole number.  The remaining dwelling units with parking space(s) shall each </w:t>
      </w:r>
      <w:proofErr w:type="gramStart"/>
      <w:r w:rsidRPr="42E0D32A">
        <w:rPr>
          <w:u w:val="single"/>
        </w:rPr>
        <w:t>be provided</w:t>
      </w:r>
      <w:proofErr w:type="gramEnd"/>
      <w:r w:rsidRPr="42E0D32A">
        <w:rPr>
          <w:u w:val="single"/>
        </w:rPr>
        <w:t xml:space="preserve"> with at least a Level 1 EV Ready Space.</w:t>
      </w:r>
    </w:p>
    <w:p w14:paraId="1BE4A24D" w14:textId="77777777" w:rsidR="00184804" w:rsidRPr="005D1A36" w:rsidRDefault="00184804" w:rsidP="42E0D32A">
      <w:pPr>
        <w:ind w:left="720" w:firstLine="720"/>
        <w:rPr>
          <w:b/>
          <w:bCs/>
        </w:rPr>
      </w:pPr>
    </w:p>
    <w:p w14:paraId="3A612132" w14:textId="0F71AD4E" w:rsidR="3A069F0F" w:rsidRDefault="3A069F0F" w:rsidP="42E0D32A">
      <w:pPr>
        <w:ind w:left="720" w:firstLine="720"/>
        <w:rPr>
          <w:b/>
          <w:bCs/>
        </w:rPr>
      </w:pPr>
    </w:p>
    <w:p w14:paraId="7A1844F2" w14:textId="1019EEE7" w:rsidR="00D144A9" w:rsidRPr="00D144A9" w:rsidRDefault="42E0D32A" w:rsidP="42E0D32A">
      <w:pPr>
        <w:ind w:left="720" w:firstLine="720"/>
      </w:pPr>
      <w:r w:rsidRPr="42E0D32A">
        <w:rPr>
          <w:b/>
          <w:bCs/>
        </w:rPr>
        <w:t>Notes:</w:t>
      </w:r>
      <w:r w:rsidRPr="42E0D32A">
        <w:t xml:space="preserve"> </w:t>
      </w:r>
    </w:p>
    <w:p w14:paraId="38591310" w14:textId="77777777" w:rsidR="001E654B" w:rsidRPr="00D144A9" w:rsidRDefault="42E0D32A" w:rsidP="009D38ED">
      <w:pPr>
        <w:pStyle w:val="ListParagraph"/>
        <w:numPr>
          <w:ilvl w:val="0"/>
          <w:numId w:val="4"/>
        </w:numPr>
        <w:ind w:left="1080"/>
        <w:rPr>
          <w:rFonts w:ascii="Times New Roman" w:eastAsia="Times New Roman" w:hAnsi="Times New Roman" w:cs="Times New Roman"/>
          <w:strike/>
          <w:sz w:val="24"/>
          <w:szCs w:val="24"/>
        </w:rPr>
      </w:pPr>
      <w:r w:rsidRPr="42E0D32A">
        <w:rPr>
          <w:rFonts w:ascii="Times New Roman" w:eastAsia="Times New Roman" w:hAnsi="Times New Roman" w:cs="Times New Roman"/>
          <w:strike/>
          <w:sz w:val="24"/>
          <w:szCs w:val="24"/>
        </w:rPr>
        <w:t xml:space="preserve">Construction documents </w:t>
      </w:r>
      <w:proofErr w:type="gramStart"/>
      <w:r w:rsidRPr="42E0D32A">
        <w:rPr>
          <w:rFonts w:ascii="Times New Roman" w:eastAsia="Times New Roman" w:hAnsi="Times New Roman" w:cs="Times New Roman"/>
          <w:strike/>
          <w:sz w:val="24"/>
          <w:szCs w:val="24"/>
        </w:rPr>
        <w:t>are intended</w:t>
      </w:r>
      <w:proofErr w:type="gramEnd"/>
      <w:r w:rsidRPr="42E0D32A">
        <w:rPr>
          <w:rFonts w:ascii="Times New Roman" w:eastAsia="Times New Roman" w:hAnsi="Times New Roman" w:cs="Times New Roman"/>
          <w:strike/>
          <w:sz w:val="24"/>
          <w:szCs w:val="24"/>
        </w:rPr>
        <w:t xml:space="preserve"> to demonstrate the project’s capability and capacity for facilitating future EV charging. </w:t>
      </w:r>
    </w:p>
    <w:p w14:paraId="55627619" w14:textId="77777777" w:rsidR="00D144A9" w:rsidRDefault="42E0D32A" w:rsidP="009D38ED">
      <w:pPr>
        <w:pStyle w:val="ListParagraph"/>
        <w:numPr>
          <w:ilvl w:val="0"/>
          <w:numId w:val="4"/>
        </w:numPr>
        <w:ind w:left="1080"/>
        <w:rPr>
          <w:rFonts w:ascii="Times New Roman" w:eastAsia="Times New Roman" w:hAnsi="Times New Roman" w:cs="Times New Roman"/>
          <w:strike/>
          <w:sz w:val="24"/>
          <w:szCs w:val="24"/>
        </w:rPr>
      </w:pPr>
      <w:r w:rsidRPr="42E0D32A">
        <w:rPr>
          <w:rFonts w:ascii="Times New Roman" w:eastAsia="Times New Roman" w:hAnsi="Times New Roman" w:cs="Times New Roman"/>
          <w:strike/>
          <w:sz w:val="24"/>
          <w:szCs w:val="24"/>
        </w:rPr>
        <w:t xml:space="preserve">There is no requirement for EV spaces to </w:t>
      </w:r>
      <w:proofErr w:type="gramStart"/>
      <w:r w:rsidRPr="42E0D32A">
        <w:rPr>
          <w:rFonts w:ascii="Times New Roman" w:eastAsia="Times New Roman" w:hAnsi="Times New Roman" w:cs="Times New Roman"/>
          <w:strike/>
          <w:sz w:val="24"/>
          <w:szCs w:val="24"/>
        </w:rPr>
        <w:t>be constructed</w:t>
      </w:r>
      <w:proofErr w:type="gramEnd"/>
      <w:r w:rsidRPr="42E0D32A">
        <w:rPr>
          <w:rFonts w:ascii="Times New Roman" w:eastAsia="Times New Roman" w:hAnsi="Times New Roman" w:cs="Times New Roman"/>
          <w:strike/>
          <w:sz w:val="24"/>
          <w:szCs w:val="24"/>
        </w:rPr>
        <w:t xml:space="preserve"> or available until EV chargers are installed for use.</w:t>
      </w:r>
    </w:p>
    <w:p w14:paraId="0C7251A3" w14:textId="396B4158" w:rsidR="00D144A9" w:rsidRPr="00A143BF" w:rsidRDefault="42E0D32A" w:rsidP="009D38ED">
      <w:pPr>
        <w:pStyle w:val="ListParagraph"/>
        <w:numPr>
          <w:ilvl w:val="0"/>
          <w:numId w:val="12"/>
        </w:numPr>
        <w:rPr>
          <w:rFonts w:ascii="Times New Roman" w:eastAsia="Times New Roman" w:hAnsi="Times New Roman" w:cs="Times New Roman"/>
          <w:strike/>
          <w:sz w:val="24"/>
          <w:szCs w:val="24"/>
        </w:rPr>
      </w:pPr>
      <w:r w:rsidRPr="42E0D32A">
        <w:rPr>
          <w:rFonts w:ascii="Times New Roman" w:eastAsia="Times New Roman" w:hAnsi="Times New Roman" w:cs="Times New Roman"/>
          <w:sz w:val="24"/>
          <w:szCs w:val="24"/>
          <w:u w:val="single"/>
        </w:rPr>
        <w:t>Installation of Level 2 EV Ready Spaces above the minimum number required level may offset the minimum number Level 1 EV Ready Spaces required on a 1:1 basis.</w:t>
      </w:r>
    </w:p>
    <w:p w14:paraId="2CF7EC87" w14:textId="77777777" w:rsidR="00D144A9" w:rsidRPr="00A143BF" w:rsidRDefault="42E0D32A" w:rsidP="009D38ED">
      <w:pPr>
        <w:pStyle w:val="ListParagraph"/>
        <w:numPr>
          <w:ilvl w:val="0"/>
          <w:numId w:val="12"/>
        </w:numPr>
        <w:rPr>
          <w:rFonts w:ascii="Times New Roman" w:eastAsia="Times New Roman" w:hAnsi="Times New Roman" w:cs="Times New Roman"/>
          <w:strike/>
          <w:sz w:val="24"/>
          <w:szCs w:val="24"/>
        </w:rPr>
      </w:pPr>
      <w:r w:rsidRPr="42E0D32A">
        <w:rPr>
          <w:rFonts w:ascii="Times New Roman" w:eastAsia="Times New Roman" w:hAnsi="Times New Roman" w:cs="Times New Roman"/>
          <w:sz w:val="24"/>
          <w:szCs w:val="24"/>
          <w:u w:val="single"/>
        </w:rPr>
        <w:t xml:space="preserve">The requirements apply to multifamily buildings with parking spaces </w:t>
      </w:r>
      <w:proofErr w:type="gramStart"/>
      <w:r w:rsidRPr="42E0D32A">
        <w:rPr>
          <w:rFonts w:ascii="Times New Roman" w:eastAsia="Times New Roman" w:hAnsi="Times New Roman" w:cs="Times New Roman"/>
          <w:sz w:val="24"/>
          <w:szCs w:val="24"/>
          <w:u w:val="single"/>
        </w:rPr>
        <w:t>including:</w:t>
      </w:r>
      <w:proofErr w:type="gramEnd"/>
      <w:r w:rsidRPr="42E0D32A">
        <w:rPr>
          <w:rFonts w:ascii="Times New Roman" w:eastAsia="Times New Roman" w:hAnsi="Times New Roman" w:cs="Times New Roman"/>
          <w:sz w:val="24"/>
          <w:szCs w:val="24"/>
          <w:u w:val="single"/>
        </w:rPr>
        <w:t xml:space="preserve"> a) assigned or leased to individual dwelling units, and b) unassigned residential parking.</w:t>
      </w:r>
    </w:p>
    <w:p w14:paraId="138565A2" w14:textId="77777777" w:rsidR="0023348D" w:rsidRDefault="42E0D32A" w:rsidP="009D38ED">
      <w:pPr>
        <w:pStyle w:val="ListParagraph"/>
        <w:numPr>
          <w:ilvl w:val="0"/>
          <w:numId w:val="12"/>
        </w:numPr>
        <w:spacing w:line="252" w:lineRule="auto"/>
        <w:rPr>
          <w:rFonts w:ascii="Times New Roman" w:eastAsia="Times New Roman" w:hAnsi="Times New Roman" w:cs="Times New Roman"/>
          <w:color w:val="000000"/>
          <w:sz w:val="24"/>
          <w:szCs w:val="24"/>
          <w:u w:val="single"/>
        </w:rPr>
      </w:pPr>
      <w:proofErr w:type="gramStart"/>
      <w:r w:rsidRPr="42E0D32A">
        <w:rPr>
          <w:rFonts w:ascii="Times New Roman" w:eastAsia="Times New Roman" w:hAnsi="Times New Roman" w:cs="Times New Roman"/>
          <w:color w:val="000000" w:themeColor="text1"/>
          <w:sz w:val="24"/>
          <w:szCs w:val="24"/>
          <w:u w:val="single"/>
        </w:rPr>
        <w:t>In order to</w:t>
      </w:r>
      <w:proofErr w:type="gramEnd"/>
      <w:r w:rsidRPr="42E0D32A">
        <w:rPr>
          <w:rFonts w:ascii="Times New Roman" w:eastAsia="Times New Roman" w:hAnsi="Times New Roman" w:cs="Times New Roman"/>
          <w:color w:val="000000" w:themeColor="text1"/>
          <w:sz w:val="24"/>
          <w:szCs w:val="24"/>
          <w:u w:val="single"/>
        </w:rPr>
        <w:t xml:space="preserve"> adhere to accessibility requirements in accordance with California Building Code Chapters 11A and/or 11B, it is recommended that all accessible parking spaces for covered newly constructed multifamily dwellings are provided with Level 1 or Level 2 EV Ready Spaces.</w:t>
      </w:r>
    </w:p>
    <w:p w14:paraId="49D7824A" w14:textId="77777777" w:rsidR="0070320B" w:rsidRPr="0023348D" w:rsidRDefault="0070320B" w:rsidP="42E0D32A">
      <w:pPr>
        <w:ind w:left="720"/>
        <w:rPr>
          <w:color w:val="000000"/>
          <w:u w:val="single"/>
        </w:rPr>
      </w:pPr>
    </w:p>
    <w:p w14:paraId="548F4491" w14:textId="3D90BE51" w:rsidR="00D144A9" w:rsidRPr="00A143BF" w:rsidRDefault="42E0D32A" w:rsidP="42E0D32A">
      <w:pPr>
        <w:pStyle w:val="ListParagraph"/>
        <w:ind w:left="1080"/>
        <w:rPr>
          <w:rFonts w:ascii="Times New Roman" w:eastAsia="Times New Roman" w:hAnsi="Times New Roman" w:cs="Times New Roman"/>
          <w:strike/>
          <w:sz w:val="24"/>
          <w:szCs w:val="24"/>
        </w:rPr>
      </w:pPr>
      <w:r w:rsidRPr="42E0D32A">
        <w:rPr>
          <w:rFonts w:ascii="Times New Roman" w:eastAsia="Times New Roman" w:hAnsi="Times New Roman" w:cs="Times New Roman"/>
          <w:sz w:val="24"/>
          <w:szCs w:val="24"/>
        </w:rPr>
        <w:t>…</w:t>
      </w:r>
    </w:p>
    <w:p w14:paraId="74E21180" w14:textId="1FC640CE" w:rsidR="00D144A9" w:rsidRPr="00A143BF" w:rsidRDefault="00D144A9" w:rsidP="42E0D32A">
      <w:pPr>
        <w:pStyle w:val="ListParagraph"/>
        <w:ind w:left="1080"/>
        <w:rPr>
          <w:rFonts w:ascii="Times New Roman" w:eastAsia="Times New Roman" w:hAnsi="Times New Roman" w:cs="Times New Roman"/>
          <w:strike/>
          <w:sz w:val="24"/>
          <w:szCs w:val="24"/>
        </w:rPr>
      </w:pPr>
    </w:p>
    <w:p w14:paraId="0A32342B" w14:textId="77777777" w:rsidR="00D144A9" w:rsidRPr="00A143BF" w:rsidRDefault="42E0D32A" w:rsidP="42E0D32A">
      <w:pPr>
        <w:pStyle w:val="ListParagraph"/>
        <w:ind w:left="1080"/>
        <w:rPr>
          <w:rFonts w:ascii="Times New Roman" w:eastAsia="Times New Roman" w:hAnsi="Times New Roman" w:cs="Times New Roman"/>
          <w:strike/>
          <w:sz w:val="24"/>
          <w:szCs w:val="24"/>
        </w:rPr>
      </w:pPr>
      <w:r w:rsidRPr="42E0D32A">
        <w:rPr>
          <w:rFonts w:ascii="Times New Roman" w:eastAsia="Times New Roman" w:hAnsi="Times New Roman" w:cs="Times New Roman"/>
          <w:sz w:val="24"/>
          <w:szCs w:val="24"/>
        </w:rPr>
        <w:t>…</w:t>
      </w:r>
    </w:p>
    <w:p w14:paraId="74327559" w14:textId="2DA2509E" w:rsidR="00A604EB" w:rsidRPr="005D1A36" w:rsidRDefault="6538F3BF" w:rsidP="42E0D32A">
      <w:pPr>
        <w:ind w:left="1080"/>
      </w:pPr>
      <w:bookmarkStart w:id="4" w:name="_Hlk52459426"/>
      <w:r w:rsidRPr="6538F3BF">
        <w:rPr>
          <w:b/>
          <w:bCs/>
        </w:rPr>
        <w:lastRenderedPageBreak/>
        <w:t>4.106.4.2.1.1 Electric vehicle charging stations (EVCS).</w:t>
      </w:r>
      <w:r>
        <w:t xml:space="preserve"> When EV chargers </w:t>
      </w:r>
      <w:proofErr w:type="gramStart"/>
      <w:r>
        <w:t>are installed</w:t>
      </w:r>
      <w:proofErr w:type="gramEnd"/>
      <w:r>
        <w:t>, EV spaces required by Section 4.106.4.2.2, Item 3, shall comply with at least one of the following options:</w:t>
      </w:r>
    </w:p>
    <w:p w14:paraId="4ECCCF37" w14:textId="3FF1C244" w:rsidR="00A604EB" w:rsidRPr="005D1A36" w:rsidRDefault="42E0D32A" w:rsidP="009D38ED">
      <w:pPr>
        <w:pStyle w:val="ListParagraph"/>
        <w:numPr>
          <w:ilvl w:val="0"/>
          <w:numId w:val="9"/>
        </w:numPr>
        <w:contextualSpacing w:val="0"/>
        <w:rPr>
          <w:rFonts w:ascii="Times New Roman" w:eastAsia="Times New Roman" w:hAnsi="Times New Roman" w:cs="Times New Roman"/>
          <w:sz w:val="24"/>
          <w:szCs w:val="24"/>
        </w:rPr>
      </w:pPr>
      <w:r w:rsidRPr="42E0D32A">
        <w:rPr>
          <w:rFonts w:ascii="Times New Roman" w:eastAsia="Times New Roman" w:hAnsi="Times New Roman" w:cs="Times New Roman"/>
          <w:sz w:val="24"/>
          <w:szCs w:val="24"/>
        </w:rPr>
        <w:t xml:space="preserve">The EV space shall be located adjacent to an accessible parking space meeting the requirements of the </w:t>
      </w:r>
      <w:r w:rsidRPr="42E0D32A">
        <w:rPr>
          <w:rFonts w:ascii="Times New Roman" w:eastAsia="Times New Roman" w:hAnsi="Times New Roman" w:cs="Times New Roman"/>
          <w:i/>
          <w:iCs/>
          <w:sz w:val="24"/>
          <w:szCs w:val="24"/>
        </w:rPr>
        <w:t>California Building Code</w:t>
      </w:r>
      <w:r w:rsidRPr="42E0D32A">
        <w:rPr>
          <w:rFonts w:ascii="Times New Roman" w:eastAsia="Times New Roman" w:hAnsi="Times New Roman" w:cs="Times New Roman"/>
          <w:sz w:val="24"/>
          <w:szCs w:val="24"/>
        </w:rPr>
        <w:t>, Chapter 11A, to allow use of the EV charger from the accessible parking space.</w:t>
      </w:r>
    </w:p>
    <w:p w14:paraId="223662CC" w14:textId="38B67974" w:rsidR="006B1EDA" w:rsidRPr="005D1A36" w:rsidRDefault="42E0D32A" w:rsidP="009D38ED">
      <w:pPr>
        <w:pStyle w:val="ListParagraph"/>
        <w:numPr>
          <w:ilvl w:val="0"/>
          <w:numId w:val="9"/>
        </w:numPr>
        <w:contextualSpacing w:val="0"/>
        <w:rPr>
          <w:rFonts w:ascii="Times New Roman" w:eastAsia="Times New Roman" w:hAnsi="Times New Roman" w:cs="Times New Roman"/>
          <w:sz w:val="24"/>
          <w:szCs w:val="24"/>
        </w:rPr>
      </w:pPr>
      <w:r w:rsidRPr="42E0D32A">
        <w:rPr>
          <w:rFonts w:ascii="Times New Roman" w:eastAsia="Times New Roman" w:hAnsi="Times New Roman" w:cs="Times New Roman"/>
          <w:sz w:val="24"/>
          <w:szCs w:val="24"/>
        </w:rPr>
        <w:t xml:space="preserve">The EV space shall be located on an accessible route, as defined in the </w:t>
      </w:r>
      <w:r w:rsidRPr="42E0D32A">
        <w:rPr>
          <w:rFonts w:ascii="Times New Roman" w:eastAsia="Times New Roman" w:hAnsi="Times New Roman" w:cs="Times New Roman"/>
          <w:i/>
          <w:iCs/>
          <w:sz w:val="24"/>
          <w:szCs w:val="24"/>
        </w:rPr>
        <w:t>California Building Code</w:t>
      </w:r>
      <w:r w:rsidRPr="42E0D32A">
        <w:rPr>
          <w:rFonts w:ascii="Times New Roman" w:eastAsia="Times New Roman" w:hAnsi="Times New Roman" w:cs="Times New Roman"/>
          <w:sz w:val="24"/>
          <w:szCs w:val="24"/>
        </w:rPr>
        <w:t>, Chapter 2, to the building.</w:t>
      </w:r>
    </w:p>
    <w:p w14:paraId="208F74FB" w14:textId="77777777" w:rsidR="00184804" w:rsidRPr="005D1A36" w:rsidRDefault="00184804" w:rsidP="42E0D32A">
      <w:pPr>
        <w:ind w:left="1080"/>
      </w:pPr>
    </w:p>
    <w:p w14:paraId="67341128" w14:textId="28734E75" w:rsidR="00157FD6" w:rsidRPr="005D1A36" w:rsidRDefault="6538F3BF" w:rsidP="42E0D32A">
      <w:pPr>
        <w:ind w:left="1440"/>
      </w:pPr>
      <w:r w:rsidRPr="6538F3BF">
        <w:rPr>
          <w:b/>
          <w:bCs/>
        </w:rPr>
        <w:t xml:space="preserve">Exception: </w:t>
      </w:r>
      <w:r>
        <w:t xml:space="preserve">Electric vehicle charging stations designed and constructed in compliance with the California Building Code, Chapter 11B, </w:t>
      </w:r>
      <w:proofErr w:type="gramStart"/>
      <w:r>
        <w:t>are not required</w:t>
      </w:r>
      <w:proofErr w:type="gramEnd"/>
      <w:r>
        <w:t xml:space="preserve"> to comply with Section 4.106.4.2.1.1. and Section 4.106.4.2.2, Item 3.</w:t>
      </w:r>
    </w:p>
    <w:p w14:paraId="7AEC398B" w14:textId="77777777" w:rsidR="00184804" w:rsidRPr="005D1A36" w:rsidRDefault="00184804" w:rsidP="42E0D32A">
      <w:pPr>
        <w:ind w:left="1440"/>
      </w:pPr>
    </w:p>
    <w:p w14:paraId="0C64B2C6" w14:textId="192DF76C" w:rsidR="00A604EB" w:rsidRPr="005D1A36" w:rsidRDefault="42E0D32A" w:rsidP="42E0D32A">
      <w:pPr>
        <w:ind w:left="1440"/>
      </w:pPr>
      <w:r w:rsidRPr="42E0D32A">
        <w:rPr>
          <w:b/>
          <w:bCs/>
        </w:rPr>
        <w:t>Note</w:t>
      </w:r>
      <w:r w:rsidRPr="42E0D32A">
        <w:t xml:space="preserve">: Electric vehicle charging stations serving public housing </w:t>
      </w:r>
      <w:proofErr w:type="gramStart"/>
      <w:r w:rsidRPr="42E0D32A">
        <w:t>are required</w:t>
      </w:r>
      <w:proofErr w:type="gramEnd"/>
      <w:r w:rsidRPr="42E0D32A">
        <w:t xml:space="preserve"> to comply with the </w:t>
      </w:r>
      <w:r w:rsidRPr="42E0D32A">
        <w:rPr>
          <w:i/>
          <w:iCs/>
        </w:rPr>
        <w:t>California Building Code</w:t>
      </w:r>
      <w:r w:rsidRPr="42E0D32A">
        <w:t xml:space="preserve">, Chapter 11 B. </w:t>
      </w:r>
    </w:p>
    <w:p w14:paraId="6D07234E" w14:textId="77777777" w:rsidR="00184804" w:rsidRPr="005D1A36" w:rsidRDefault="00184804" w:rsidP="42E0D32A">
      <w:pPr>
        <w:ind w:left="1440"/>
      </w:pPr>
    </w:p>
    <w:p w14:paraId="0E2B0297" w14:textId="60F25380" w:rsidR="006B1EDA" w:rsidRPr="001335D3" w:rsidRDefault="4A57446F" w:rsidP="6538F3BF">
      <w:pPr>
        <w:ind w:left="1080"/>
      </w:pPr>
      <w:r w:rsidRPr="4A57446F">
        <w:rPr>
          <w:b/>
          <w:bCs/>
        </w:rPr>
        <w:t xml:space="preserve">4.106.4.2.2 </w:t>
      </w:r>
      <w:r w:rsidR="6538F3BF">
        <w:tab/>
      </w:r>
      <w:r w:rsidRPr="4A57446F">
        <w:rPr>
          <w:b/>
          <w:bCs/>
        </w:rPr>
        <w:t>Electric vehicle charging space (EV space) dimensions</w:t>
      </w:r>
      <w:r>
        <w:t xml:space="preserve">. The EV spaces shall </w:t>
      </w:r>
      <w:proofErr w:type="gramStart"/>
      <w:r>
        <w:t>be designed</w:t>
      </w:r>
      <w:proofErr w:type="gramEnd"/>
      <w:r>
        <w:t xml:space="preserve"> to comply with the following:</w:t>
      </w:r>
    </w:p>
    <w:p w14:paraId="230F1839" w14:textId="40D8410C" w:rsidR="006B1EDA" w:rsidRPr="001335D3" w:rsidRDefault="4A57446F" w:rsidP="009D38ED">
      <w:pPr>
        <w:pStyle w:val="ListParagraph"/>
        <w:numPr>
          <w:ilvl w:val="0"/>
          <w:numId w:val="7"/>
        </w:numPr>
        <w:contextualSpacing w:val="0"/>
        <w:rPr>
          <w:rFonts w:ascii="Times New Roman" w:eastAsia="Times New Roman" w:hAnsi="Times New Roman" w:cs="Times New Roman"/>
          <w:sz w:val="24"/>
          <w:szCs w:val="24"/>
        </w:rPr>
      </w:pPr>
      <w:r w:rsidRPr="4A57446F">
        <w:rPr>
          <w:rFonts w:ascii="Times New Roman" w:eastAsia="Times New Roman" w:hAnsi="Times New Roman" w:cs="Times New Roman"/>
          <w:sz w:val="24"/>
          <w:szCs w:val="24"/>
        </w:rPr>
        <w:t>The minimum length of each EV space shall be 18 feet (5486 mm).</w:t>
      </w:r>
    </w:p>
    <w:p w14:paraId="1521137C" w14:textId="2E32E4E3" w:rsidR="006B1EDA" w:rsidRPr="001335D3" w:rsidRDefault="4A57446F" w:rsidP="009D38ED">
      <w:pPr>
        <w:pStyle w:val="ListParagraph"/>
        <w:numPr>
          <w:ilvl w:val="0"/>
          <w:numId w:val="7"/>
        </w:numPr>
        <w:contextualSpacing w:val="0"/>
        <w:rPr>
          <w:rFonts w:ascii="Times New Roman" w:eastAsia="Times New Roman" w:hAnsi="Times New Roman" w:cs="Times New Roman"/>
          <w:sz w:val="24"/>
          <w:szCs w:val="24"/>
        </w:rPr>
      </w:pPr>
      <w:r w:rsidRPr="4A57446F">
        <w:rPr>
          <w:rFonts w:ascii="Times New Roman" w:eastAsia="Times New Roman" w:hAnsi="Times New Roman" w:cs="Times New Roman"/>
          <w:sz w:val="24"/>
          <w:szCs w:val="24"/>
        </w:rPr>
        <w:t>The minimum width of each EV space shall be 9 feet (2743 mm).</w:t>
      </w:r>
    </w:p>
    <w:p w14:paraId="22EA3BDF" w14:textId="28CB2F32" w:rsidR="001335D3" w:rsidRPr="00A658EA" w:rsidRDefault="4A57446F" w:rsidP="009D38ED">
      <w:pPr>
        <w:pStyle w:val="ListParagraph"/>
        <w:numPr>
          <w:ilvl w:val="0"/>
          <w:numId w:val="7"/>
        </w:numPr>
        <w:contextualSpacing w:val="0"/>
        <w:rPr>
          <w:rFonts w:ascii="Times New Roman" w:eastAsia="Times New Roman" w:hAnsi="Times New Roman" w:cs="Times New Roman"/>
          <w:sz w:val="24"/>
          <w:szCs w:val="24"/>
        </w:rPr>
      </w:pPr>
      <w:r w:rsidRPr="4A57446F">
        <w:rPr>
          <w:rFonts w:ascii="Times New Roman" w:eastAsia="Times New Roman" w:hAnsi="Times New Roman" w:cs="Times New Roman"/>
          <w:sz w:val="24"/>
          <w:szCs w:val="24"/>
        </w:rPr>
        <w:t xml:space="preserve">One in every 25 EV spaces, but not less than one, shall also have an 8-foot (2438 mm) wide minimum aisle. A 5-foot (1524 mm) wide minimum aisle shall </w:t>
      </w:r>
      <w:proofErr w:type="gramStart"/>
      <w:r w:rsidRPr="4A57446F">
        <w:rPr>
          <w:rFonts w:ascii="Times New Roman" w:eastAsia="Times New Roman" w:hAnsi="Times New Roman" w:cs="Times New Roman"/>
          <w:sz w:val="24"/>
          <w:szCs w:val="24"/>
        </w:rPr>
        <w:t>be permitted</w:t>
      </w:r>
      <w:proofErr w:type="gramEnd"/>
      <w:r w:rsidRPr="4A57446F">
        <w:rPr>
          <w:rFonts w:ascii="Times New Roman" w:eastAsia="Times New Roman" w:hAnsi="Times New Roman" w:cs="Times New Roman"/>
          <w:sz w:val="24"/>
          <w:szCs w:val="24"/>
        </w:rPr>
        <w:t xml:space="preserve"> provided the minimum width of the EV space is 12 feet (3658 mm).</w:t>
      </w:r>
      <w:r w:rsidRPr="4A57446F">
        <w:rPr>
          <w:rFonts w:ascii="Times New Roman" w:eastAsia="Times New Roman" w:hAnsi="Times New Roman" w:cs="Times New Roman"/>
          <w:strike/>
          <w:sz w:val="24"/>
          <w:szCs w:val="24"/>
        </w:rPr>
        <w:t xml:space="preserve"> </w:t>
      </w:r>
    </w:p>
    <w:p w14:paraId="5B2DBF3A" w14:textId="2968D13A" w:rsidR="006B1EDA" w:rsidRPr="009F1C4A" w:rsidRDefault="4A57446F" w:rsidP="009D38ED">
      <w:pPr>
        <w:pStyle w:val="ListParagraph"/>
        <w:numPr>
          <w:ilvl w:val="1"/>
          <w:numId w:val="7"/>
        </w:numPr>
        <w:contextualSpacing w:val="0"/>
        <w:rPr>
          <w:rFonts w:ascii="Times New Roman" w:eastAsia="Times New Roman" w:hAnsi="Times New Roman" w:cs="Times New Roman"/>
          <w:sz w:val="24"/>
          <w:szCs w:val="24"/>
        </w:rPr>
      </w:pPr>
      <w:r w:rsidRPr="4A57446F">
        <w:rPr>
          <w:rFonts w:ascii="Times New Roman" w:eastAsia="Times New Roman" w:hAnsi="Times New Roman" w:cs="Times New Roman"/>
          <w:sz w:val="24"/>
          <w:szCs w:val="24"/>
        </w:rPr>
        <w:t>Surface slope for this EV space and the aisle shall not exceed 1 unit vertical in 48 units horizontal (2.083 percent slope) in any direction.</w:t>
      </w:r>
    </w:p>
    <w:bookmarkEnd w:id="4"/>
    <w:p w14:paraId="6DE02DE7" w14:textId="73B8D889" w:rsidR="6538F3BF" w:rsidRDefault="4A57446F" w:rsidP="6538F3BF">
      <w:pPr>
        <w:ind w:left="1080"/>
      </w:pPr>
      <w:r w:rsidRPr="4A57446F">
        <w:rPr>
          <w:b/>
          <w:bCs/>
          <w:u w:val="single"/>
        </w:rPr>
        <w:t xml:space="preserve">Exception: </w:t>
      </w:r>
      <w:r w:rsidRPr="4A57446F">
        <w:rPr>
          <w:u w:val="single"/>
        </w:rPr>
        <w:t xml:space="preserve">Where the City’s Municipal Code permits parking space dimensions that are less than the minimum requirements stated in this section 4.106.4.2.2, and the compliance with which would be infeasible due to </w:t>
      </w:r>
      <w:proofErr w:type="gramStart"/>
      <w:r w:rsidRPr="4A57446F">
        <w:rPr>
          <w:u w:val="single"/>
        </w:rPr>
        <w:t>particular circumstances</w:t>
      </w:r>
      <w:proofErr w:type="gramEnd"/>
      <w:r w:rsidRPr="4A57446F">
        <w:rPr>
          <w:u w:val="single"/>
        </w:rPr>
        <w:t xml:space="preserve"> of a project, an exception may be granted while remaining in compliance with 2019 California Building Code Section Table 11B-228.3.2.1 and 11B-812, as applicable.</w:t>
      </w:r>
    </w:p>
    <w:p w14:paraId="326D159B" w14:textId="00B1E9B5" w:rsidR="6538F3BF" w:rsidRDefault="6538F3BF" w:rsidP="6538F3BF">
      <w:pPr>
        <w:ind w:left="1080"/>
        <w:rPr>
          <w:u w:val="single"/>
        </w:rPr>
      </w:pPr>
    </w:p>
    <w:p w14:paraId="68AA8700" w14:textId="0A57E2E4" w:rsidR="00A658EA" w:rsidRPr="00A50039" w:rsidRDefault="5F8F02A4" w:rsidP="6E014B8A">
      <w:pPr>
        <w:pStyle w:val="ListParagraph"/>
        <w:ind w:left="1080"/>
        <w:rPr>
          <w:rFonts w:ascii="Times New Roman" w:eastAsia="Times New Roman" w:hAnsi="Times New Roman" w:cs="Times New Roman"/>
          <w:sz w:val="24"/>
          <w:szCs w:val="24"/>
          <w:u w:val="single"/>
        </w:rPr>
      </w:pPr>
      <w:r w:rsidRPr="5F8F02A4">
        <w:rPr>
          <w:rFonts w:ascii="Times New Roman" w:eastAsia="Times New Roman" w:hAnsi="Times New Roman" w:cs="Times New Roman"/>
          <w:b/>
          <w:bCs/>
          <w:sz w:val="24"/>
          <w:szCs w:val="24"/>
        </w:rPr>
        <w:t>4.106.4.2.3</w:t>
      </w:r>
      <w:r w:rsidR="6538F3BF">
        <w:tab/>
      </w:r>
      <w:r w:rsidRPr="5F8F02A4">
        <w:rPr>
          <w:rFonts w:ascii="Times New Roman" w:eastAsia="Times New Roman" w:hAnsi="Times New Roman" w:cs="Times New Roman"/>
          <w:b/>
          <w:bCs/>
          <w:sz w:val="24"/>
          <w:szCs w:val="24"/>
          <w:u w:val="single"/>
        </w:rPr>
        <w:t>Automated Load Management Systems</w:t>
      </w:r>
      <w:r w:rsidRPr="5F8F02A4">
        <w:rPr>
          <w:rFonts w:ascii="Times New Roman" w:eastAsia="Times New Roman" w:hAnsi="Times New Roman" w:cs="Times New Roman"/>
          <w:sz w:val="24"/>
          <w:szCs w:val="24"/>
          <w:u w:val="single"/>
        </w:rPr>
        <w:t xml:space="preserve">. </w:t>
      </w:r>
      <w:bookmarkStart w:id="5" w:name="_Hlk24561233"/>
    </w:p>
    <w:p w14:paraId="1CA08FD9" w14:textId="615AC8D0" w:rsidR="00A658EA" w:rsidRPr="00A50039" w:rsidRDefault="5F8F02A4" w:rsidP="5F8F02A4">
      <w:pPr>
        <w:pStyle w:val="ListParagraph"/>
        <w:numPr>
          <w:ilvl w:val="1"/>
          <w:numId w:val="2"/>
        </w:numPr>
        <w:rPr>
          <w:rFonts w:eastAsiaTheme="minorEastAsia"/>
          <w:sz w:val="24"/>
          <w:szCs w:val="24"/>
          <w:u w:val="single"/>
        </w:rPr>
      </w:pPr>
      <w:r w:rsidRPr="5F8F02A4">
        <w:rPr>
          <w:rFonts w:ascii="Times New Roman" w:eastAsia="Times New Roman" w:hAnsi="Times New Roman" w:cs="Times New Roman"/>
          <w:sz w:val="24"/>
          <w:szCs w:val="24"/>
          <w:u w:val="single"/>
        </w:rPr>
        <w:t xml:space="preserve">As defined in Section 2, ALMS shall </w:t>
      </w:r>
      <w:proofErr w:type="gramStart"/>
      <w:r w:rsidRPr="5F8F02A4">
        <w:rPr>
          <w:rFonts w:ascii="Times New Roman" w:eastAsia="Times New Roman" w:hAnsi="Times New Roman" w:cs="Times New Roman"/>
          <w:sz w:val="24"/>
          <w:szCs w:val="24"/>
          <w:u w:val="single"/>
        </w:rPr>
        <w:t>be allowed</w:t>
      </w:r>
      <w:proofErr w:type="gramEnd"/>
      <w:r w:rsidRPr="5F8F02A4">
        <w:rPr>
          <w:rFonts w:ascii="Times New Roman" w:eastAsia="Times New Roman" w:hAnsi="Times New Roman" w:cs="Times New Roman"/>
          <w:sz w:val="24"/>
          <w:szCs w:val="24"/>
          <w:u w:val="single"/>
        </w:rPr>
        <w:t xml:space="preserve"> to meet the requirements of 4.106.4.2.</w:t>
      </w:r>
    </w:p>
    <w:p w14:paraId="240A558E" w14:textId="79BD7BC4" w:rsidR="6E014B8A" w:rsidRDefault="5F8F02A4" w:rsidP="5F8F02A4">
      <w:pPr>
        <w:pStyle w:val="ListParagraph"/>
        <w:numPr>
          <w:ilvl w:val="1"/>
          <w:numId w:val="2"/>
        </w:numPr>
        <w:rPr>
          <w:rFonts w:eastAsiaTheme="minorEastAsia"/>
          <w:sz w:val="24"/>
          <w:szCs w:val="24"/>
          <w:u w:val="single"/>
        </w:rPr>
      </w:pPr>
      <w:r w:rsidRPr="5F8F02A4">
        <w:rPr>
          <w:rFonts w:ascii="Times New Roman" w:eastAsia="Times New Roman" w:hAnsi="Times New Roman" w:cs="Times New Roman"/>
          <w:sz w:val="24"/>
          <w:szCs w:val="24"/>
          <w:u w:val="single"/>
        </w:rPr>
        <w:t xml:space="preserve">Where ALMS serve Direct Current Fast Charging stations, the power demand from the Direct Current Fast Charging station shall </w:t>
      </w:r>
      <w:proofErr w:type="gramStart"/>
      <w:r w:rsidRPr="5F8F02A4">
        <w:rPr>
          <w:rFonts w:ascii="Times New Roman" w:eastAsia="Times New Roman" w:hAnsi="Times New Roman" w:cs="Times New Roman"/>
          <w:sz w:val="24"/>
          <w:szCs w:val="24"/>
          <w:u w:val="single"/>
        </w:rPr>
        <w:t>be prioritized</w:t>
      </w:r>
      <w:proofErr w:type="gramEnd"/>
      <w:r w:rsidRPr="5F8F02A4">
        <w:rPr>
          <w:rFonts w:ascii="Times New Roman" w:eastAsia="Times New Roman" w:hAnsi="Times New Roman" w:cs="Times New Roman"/>
          <w:sz w:val="24"/>
          <w:szCs w:val="24"/>
          <w:u w:val="single"/>
        </w:rPr>
        <w:t xml:space="preserve"> above Level 1 and Level 2 spaces.</w:t>
      </w:r>
    </w:p>
    <w:p w14:paraId="1E55E195" w14:textId="56BB3F16" w:rsidR="009D6F13" w:rsidRPr="00D178A6" w:rsidRDefault="009D6F13" w:rsidP="42E0D32A">
      <w:pPr>
        <w:ind w:left="1080"/>
        <w:rPr>
          <w:strike/>
          <w:color w:val="000000"/>
          <w:vertAlign w:val="superscript"/>
        </w:rPr>
      </w:pPr>
    </w:p>
    <w:bookmarkEnd w:id="5"/>
    <w:p w14:paraId="5E2EC96E" w14:textId="77777777" w:rsidR="006B1EDA" w:rsidRPr="009D6F13" w:rsidRDefault="42E0D32A" w:rsidP="42E0D32A">
      <w:pPr>
        <w:ind w:left="1080"/>
        <w:rPr>
          <w:strike/>
        </w:rPr>
      </w:pPr>
      <w:r w:rsidRPr="42E0D32A">
        <w:rPr>
          <w:b/>
          <w:bCs/>
          <w:strike/>
        </w:rPr>
        <w:t xml:space="preserve">Single EV space required. </w:t>
      </w:r>
      <w:r w:rsidRPr="42E0D32A">
        <w:rPr>
          <w:strike/>
        </w:rPr>
        <w:t xml:space="preserve">Install a listed raceway capable of accommodating a 208/240-volt dedicated branch circuit. The raceway shall not be less than trade size 1 </w:t>
      </w:r>
      <w:r w:rsidRPr="42E0D32A">
        <w:rPr>
          <w:strike/>
        </w:rPr>
        <w:lastRenderedPageBreak/>
        <w:t xml:space="preserve">(nominal 1-inch inside diameter). The raceway shall originate at the main service or subpanel and shall terminate into a listed cabinet, </w:t>
      </w:r>
      <w:proofErr w:type="gramStart"/>
      <w:r w:rsidRPr="42E0D32A">
        <w:rPr>
          <w:strike/>
        </w:rPr>
        <w:t>box</w:t>
      </w:r>
      <w:proofErr w:type="gramEnd"/>
      <w:r w:rsidRPr="42E0D32A">
        <w:rPr>
          <w:strike/>
        </w:rPr>
        <w:t xml:space="preserve"> or enclosure in close proximity to the proposed location of the EV spaces. Construction documents shall identify the raceway termination point. The service panel and/or subpanel shall provide capacity to install a 40-ampere minimum dedicated branch circuit and space(s) reserved to permit installation of a branch circuit over- current protective device.</w:t>
      </w:r>
    </w:p>
    <w:p w14:paraId="43F26943" w14:textId="77777777" w:rsidR="006B1EDA" w:rsidRPr="009D6F13" w:rsidRDefault="006B1EDA" w:rsidP="42E0D32A">
      <w:pPr>
        <w:rPr>
          <w:strike/>
        </w:rPr>
      </w:pPr>
    </w:p>
    <w:p w14:paraId="6ED1ECF9" w14:textId="0302FD09" w:rsidR="00AE2B15" w:rsidRDefault="006B1EDA" w:rsidP="42E0D32A">
      <w:pPr>
        <w:ind w:left="1080"/>
        <w:rPr>
          <w:strike/>
          <w:color w:val="000000"/>
        </w:rPr>
      </w:pPr>
      <w:r w:rsidRPr="42E0D32A">
        <w:rPr>
          <w:b/>
          <w:bCs/>
          <w:strike/>
        </w:rPr>
        <w:t>4.106.4.2.4</w:t>
      </w:r>
      <w:r w:rsidRPr="009D6F13">
        <w:rPr>
          <w:b/>
          <w:strike/>
        </w:rPr>
        <w:tab/>
      </w:r>
      <w:r w:rsidRPr="42E0D32A">
        <w:rPr>
          <w:b/>
          <w:bCs/>
          <w:strike/>
        </w:rPr>
        <w:t>Multiple EV spaces required</w:t>
      </w:r>
      <w:r w:rsidRPr="42E0D32A">
        <w:rPr>
          <w:strike/>
        </w:rPr>
        <w:t>. Construction raceway termination point and proposed location of future EV spaces and EV chargers</w:t>
      </w:r>
      <w:r w:rsidR="001C2828" w:rsidRPr="42E0D32A">
        <w:rPr>
          <w:strike/>
          <w:color w:val="000000"/>
        </w:rPr>
        <w:t xml:space="preserve"> Construction documents shall also </w:t>
      </w:r>
      <w:r w:rsidRPr="42E0D32A">
        <w:rPr>
          <w:strike/>
        </w:rPr>
        <w:t>pro- vide information on amperage of future EVSE, raceway method(s), wiring schematics and electrical load calculations to verify</w:t>
      </w:r>
      <w:r w:rsidR="001C2828" w:rsidRPr="42E0D32A">
        <w:rPr>
          <w:strike/>
          <w:color w:val="000000"/>
        </w:rPr>
        <w:t xml:space="preserve"> that the </w:t>
      </w:r>
      <w:r w:rsidRPr="42E0D32A">
        <w:rPr>
          <w:strike/>
        </w:rPr>
        <w:t>electrical panel service capacity and electrical system</w:t>
      </w:r>
      <w:r w:rsidR="001C2828" w:rsidRPr="42E0D32A">
        <w:rPr>
          <w:strike/>
          <w:color w:val="000000"/>
        </w:rPr>
        <w:t xml:space="preserve">, including </w:t>
      </w:r>
      <w:r w:rsidRPr="42E0D32A">
        <w:rPr>
          <w:strike/>
        </w:rPr>
        <w:t xml:space="preserve">any on-site distribution transformer(s), have sufficient capacity to simultaneously charge all EVs at all </w:t>
      </w:r>
      <w:r w:rsidR="001C2828" w:rsidRPr="42E0D32A">
        <w:rPr>
          <w:strike/>
          <w:color w:val="000000"/>
        </w:rPr>
        <w:t xml:space="preserve">required </w:t>
      </w:r>
      <w:r w:rsidRPr="42E0D32A">
        <w:rPr>
          <w:strike/>
        </w:rPr>
        <w:t xml:space="preserve">EV spaces at the full rated amperage of the EVSE. Plan design shall be based upon a 40-ampere minimum branch circuit. Raceways and related components that </w:t>
      </w:r>
      <w:proofErr w:type="gramStart"/>
      <w:r w:rsidRPr="42E0D32A">
        <w:rPr>
          <w:strike/>
        </w:rPr>
        <w:t>are planned</w:t>
      </w:r>
      <w:proofErr w:type="gramEnd"/>
      <w:r w:rsidRPr="42E0D32A">
        <w:rPr>
          <w:strike/>
        </w:rPr>
        <w:t xml:space="preserve"> to be installed underground, enclosed, inaccessible or in concealed areas and spaces shall be installed</w:t>
      </w:r>
      <w:r w:rsidR="009D6F13" w:rsidRPr="42E0D32A">
        <w:rPr>
          <w:strike/>
        </w:rPr>
        <w:t xml:space="preserve"> </w:t>
      </w:r>
      <w:r w:rsidR="001C2828" w:rsidRPr="42E0D32A">
        <w:rPr>
          <w:strike/>
          <w:color w:val="000000"/>
        </w:rPr>
        <w:t>at the time of original construction.</w:t>
      </w:r>
    </w:p>
    <w:p w14:paraId="24B1E962" w14:textId="77777777" w:rsidR="009D6F13" w:rsidRPr="009D6F13" w:rsidRDefault="009D6F13" w:rsidP="42E0D32A">
      <w:pPr>
        <w:ind w:left="1080"/>
        <w:rPr>
          <w:strike/>
          <w:color w:val="000000" w:themeColor="text1"/>
          <w:vertAlign w:val="superscript"/>
        </w:rPr>
      </w:pPr>
    </w:p>
    <w:p w14:paraId="7ABAFB79" w14:textId="77777777" w:rsidR="006B1EDA" w:rsidRPr="009D6F13" w:rsidRDefault="006B1EDA" w:rsidP="42E0D32A">
      <w:pPr>
        <w:ind w:left="1080"/>
        <w:rPr>
          <w:strike/>
        </w:rPr>
      </w:pPr>
      <w:r w:rsidRPr="42E0D32A">
        <w:rPr>
          <w:b/>
          <w:bCs/>
          <w:strike/>
        </w:rPr>
        <w:t>4.106.4.2.5</w:t>
      </w:r>
      <w:r w:rsidRPr="009D6F13">
        <w:rPr>
          <w:b/>
          <w:strike/>
        </w:rPr>
        <w:tab/>
      </w:r>
      <w:r w:rsidRPr="42E0D32A">
        <w:rPr>
          <w:b/>
          <w:bCs/>
          <w:strike/>
        </w:rPr>
        <w:t>Identification.</w:t>
      </w:r>
      <w:r w:rsidRPr="42E0D32A">
        <w:rPr>
          <w:strike/>
        </w:rPr>
        <w:t xml:space="preserve"> The service panel or sub- panel circuit directory shall identify the overcurrent protective device space(s) reserved for future EV charging purposes as “EV CAPABLE” in accordance with the California Electrical Code.</w:t>
      </w:r>
    </w:p>
    <w:p w14:paraId="55B6B898" w14:textId="5DD4942E" w:rsidR="00E32BF0" w:rsidRDefault="00E32BF0" w:rsidP="42E0D32A">
      <w:pPr>
        <w:ind w:left="1440"/>
        <w:rPr>
          <w:color w:val="000000"/>
          <w:vertAlign w:val="superscript"/>
        </w:rPr>
      </w:pPr>
      <w:bookmarkStart w:id="6" w:name="_Hlk8999455"/>
    </w:p>
    <w:p w14:paraId="3F45974E" w14:textId="4A0F434E" w:rsidR="00E32BF0" w:rsidRDefault="42E0D32A" w:rsidP="42E0D32A">
      <w:pPr>
        <w:ind w:left="1440"/>
        <w:rPr>
          <w:color w:val="000000"/>
          <w:vertAlign w:val="superscript"/>
        </w:rPr>
      </w:pPr>
      <w:r w:rsidRPr="42E0D32A">
        <w:rPr>
          <w:color w:val="000000" w:themeColor="text1"/>
          <w:vertAlign w:val="superscript"/>
        </w:rPr>
        <w:t>…</w:t>
      </w:r>
    </w:p>
    <w:p w14:paraId="4695F448" w14:textId="77777777" w:rsidR="00C91F4C" w:rsidRDefault="00C91F4C" w:rsidP="42E0D32A">
      <w:pPr>
        <w:ind w:left="1440"/>
        <w:rPr>
          <w:color w:val="000000"/>
          <w:vertAlign w:val="superscript"/>
        </w:rPr>
      </w:pPr>
    </w:p>
    <w:p w14:paraId="0ADDCF86" w14:textId="7BB635BA" w:rsidR="009617CA" w:rsidRPr="005D1A36" w:rsidRDefault="42E0D32A" w:rsidP="42E0D32A">
      <w:pPr>
        <w:ind w:left="1440"/>
        <w:rPr>
          <w:color w:val="000000"/>
          <w:vertAlign w:val="superscript"/>
        </w:rPr>
      </w:pPr>
      <w:r w:rsidRPr="42E0D32A">
        <w:rPr>
          <w:color w:val="000000" w:themeColor="text1"/>
          <w:vertAlign w:val="superscript"/>
        </w:rPr>
        <w:t>…</w:t>
      </w:r>
    </w:p>
    <w:p w14:paraId="5D7DE29D" w14:textId="24F3E463" w:rsidR="00C27A79" w:rsidRPr="005D1A36" w:rsidRDefault="00C27A79" w:rsidP="42E0D32A">
      <w:pPr>
        <w:rPr>
          <w:b/>
          <w:bCs/>
        </w:rPr>
      </w:pPr>
    </w:p>
    <w:p w14:paraId="00435F67" w14:textId="02FFE346" w:rsidR="000627BD" w:rsidRPr="005D1A36" w:rsidRDefault="42E0D32A" w:rsidP="42E0D32A">
      <w:pPr>
        <w:jc w:val="center"/>
        <w:rPr>
          <w:b/>
          <w:bCs/>
        </w:rPr>
      </w:pPr>
      <w:r w:rsidRPr="42E0D32A">
        <w:rPr>
          <w:b/>
          <w:bCs/>
        </w:rPr>
        <w:t>SECTION 5</w:t>
      </w:r>
    </w:p>
    <w:p w14:paraId="33AFA91E" w14:textId="6B88B7EA" w:rsidR="000627BD" w:rsidRDefault="42E0D32A" w:rsidP="42E0D32A">
      <w:pPr>
        <w:jc w:val="center"/>
        <w:rPr>
          <w:b/>
          <w:bCs/>
        </w:rPr>
      </w:pPr>
      <w:r w:rsidRPr="42E0D32A">
        <w:rPr>
          <w:b/>
          <w:bCs/>
        </w:rPr>
        <w:t>NONRESIDENTIAL MANDATORY MEASURES</w:t>
      </w:r>
    </w:p>
    <w:p w14:paraId="77048DDB" w14:textId="288A315B" w:rsidR="00C91F4C" w:rsidRDefault="42E0D32A" w:rsidP="42E0D32A">
      <w:r w:rsidRPr="42E0D32A">
        <w:t>…</w:t>
      </w:r>
    </w:p>
    <w:p w14:paraId="58943DAF" w14:textId="77777777" w:rsidR="00C91F4C" w:rsidRDefault="00C91F4C" w:rsidP="42E0D32A"/>
    <w:p w14:paraId="7C683734" w14:textId="69ACE2EB" w:rsidR="00C91F4C" w:rsidRPr="00C91F4C" w:rsidRDefault="42E0D32A" w:rsidP="42E0D32A">
      <w:r w:rsidRPr="42E0D32A">
        <w:t>…</w:t>
      </w:r>
    </w:p>
    <w:p w14:paraId="648B0BC3" w14:textId="00E6AEF9" w:rsidR="00184804" w:rsidRDefault="4A57446F" w:rsidP="6538F3BF">
      <w:r w:rsidRPr="4A57446F">
        <w:rPr>
          <w:b/>
          <w:bCs/>
        </w:rPr>
        <w:t xml:space="preserve">5.106.5.3 </w:t>
      </w:r>
      <w:r w:rsidR="6538F3BF">
        <w:tab/>
      </w:r>
      <w:r w:rsidRPr="4A57446F">
        <w:rPr>
          <w:b/>
          <w:bCs/>
        </w:rPr>
        <w:t>Electric vehicle (EV) charging. [N]</w:t>
      </w:r>
      <w:r>
        <w:t xml:space="preserve"> </w:t>
      </w:r>
      <w:r w:rsidRPr="4A57446F">
        <w:rPr>
          <w:u w:val="single"/>
        </w:rPr>
        <w:t>New</w:t>
      </w:r>
      <w:r>
        <w:t xml:space="preserve"> construction shall comply with Section 5.106.5.3.1 or Section 5.106.5.3.2 to facilitate future installation of electric vehicle supply equipment (EVSE). When EVSE(s) </w:t>
      </w:r>
      <w:proofErr w:type="gramStart"/>
      <w:r>
        <w:t>is/are installed</w:t>
      </w:r>
      <w:proofErr w:type="gramEnd"/>
      <w:r>
        <w:t xml:space="preserve">, it shall be in accordance with the </w:t>
      </w:r>
      <w:r w:rsidRPr="4A57446F">
        <w:rPr>
          <w:i/>
          <w:iCs/>
        </w:rPr>
        <w:t>California Building Code,</w:t>
      </w:r>
      <w:r>
        <w:t xml:space="preserve"> the </w:t>
      </w:r>
      <w:r w:rsidRPr="4A57446F">
        <w:rPr>
          <w:i/>
          <w:iCs/>
        </w:rPr>
        <w:t>California Electrical Code</w:t>
      </w:r>
      <w:r>
        <w:t xml:space="preserve"> and as follows:</w:t>
      </w:r>
    </w:p>
    <w:p w14:paraId="5C06CFB6" w14:textId="77777777" w:rsidR="00944989" w:rsidRDefault="42E0D32A" w:rsidP="42E0D32A">
      <w:pPr>
        <w:ind w:left="1440"/>
        <w:rPr>
          <w:u w:val="single"/>
        </w:rPr>
      </w:pPr>
      <w:r w:rsidRPr="42E0D32A">
        <w:rPr>
          <w:b/>
          <w:bCs/>
          <w:u w:val="single"/>
        </w:rPr>
        <w:t>Exceptions</w:t>
      </w:r>
      <w:r w:rsidRPr="42E0D32A">
        <w:rPr>
          <w:u w:val="single"/>
        </w:rPr>
        <w:t xml:space="preserve">: </w:t>
      </w:r>
    </w:p>
    <w:p w14:paraId="40B5571E" w14:textId="7D05A138" w:rsidR="00C91F4C" w:rsidRPr="00944989" w:rsidRDefault="4A57446F" w:rsidP="009D38ED">
      <w:pPr>
        <w:pStyle w:val="ListParagraph"/>
        <w:numPr>
          <w:ilvl w:val="0"/>
          <w:numId w:val="20"/>
        </w:numPr>
        <w:tabs>
          <w:tab w:val="left" w:pos="360"/>
        </w:tabs>
        <w:rPr>
          <w:rFonts w:ascii="Times New Roman" w:eastAsia="Times New Roman" w:hAnsi="Times New Roman" w:cs="Times New Roman"/>
          <w:sz w:val="24"/>
          <w:szCs w:val="24"/>
          <w:u w:val="single"/>
        </w:rPr>
      </w:pPr>
      <w:r w:rsidRPr="4A57446F">
        <w:rPr>
          <w:rFonts w:ascii="Times New Roman" w:eastAsia="Times New Roman" w:hAnsi="Times New Roman" w:cs="Times New Roman"/>
          <w:sz w:val="24"/>
          <w:szCs w:val="24"/>
          <w:u w:val="single"/>
        </w:rPr>
        <w:t>Where there is no commercial power supply.</w:t>
      </w:r>
    </w:p>
    <w:p w14:paraId="39BD7F69" w14:textId="5E089D06" w:rsidR="6538F3BF" w:rsidRDefault="4A57446F" w:rsidP="009D38ED">
      <w:pPr>
        <w:pStyle w:val="ListParagraph"/>
        <w:numPr>
          <w:ilvl w:val="0"/>
          <w:numId w:val="20"/>
        </w:numPr>
        <w:tabs>
          <w:tab w:val="left" w:pos="360"/>
        </w:tabs>
        <w:rPr>
          <w:rFonts w:eastAsiaTheme="minorEastAsia"/>
          <w:sz w:val="24"/>
          <w:szCs w:val="24"/>
        </w:rPr>
      </w:pPr>
      <w:commentRangeStart w:id="7"/>
      <w:r w:rsidRPr="4A57446F">
        <w:rPr>
          <w:rFonts w:ascii="Times New Roman" w:eastAsia="Times New Roman" w:hAnsi="Times New Roman" w:cs="Times New Roman"/>
          <w:sz w:val="24"/>
          <w:szCs w:val="24"/>
          <w:u w:val="single"/>
        </w:rPr>
        <w:t>Installation</w:t>
      </w:r>
      <w:commentRangeEnd w:id="7"/>
      <w:r w:rsidR="6538F3BF">
        <w:rPr>
          <w:rStyle w:val="CommentReference"/>
        </w:rPr>
        <w:commentReference w:id="7"/>
      </w:r>
      <w:r w:rsidRPr="4A57446F">
        <w:rPr>
          <w:rFonts w:ascii="Times New Roman" w:eastAsia="Times New Roman" w:hAnsi="Times New Roman" w:cs="Times New Roman"/>
          <w:sz w:val="24"/>
          <w:szCs w:val="24"/>
          <w:u w:val="single"/>
        </w:rPr>
        <w:t xml:space="preserve"> of each Direct Current Fast Charger with the capacity to provide at least 80 kW output may substitute for 11 Level 2 EVCS spaces after a minimum of 11 Level 2 EVCS spaces </w:t>
      </w:r>
      <w:proofErr w:type="gramStart"/>
      <w:r w:rsidRPr="4A57446F">
        <w:rPr>
          <w:rFonts w:ascii="Times New Roman" w:eastAsia="Times New Roman" w:hAnsi="Times New Roman" w:cs="Times New Roman"/>
          <w:sz w:val="24"/>
          <w:szCs w:val="24"/>
          <w:u w:val="single"/>
        </w:rPr>
        <w:t>are installed</w:t>
      </w:r>
      <w:proofErr w:type="gramEnd"/>
      <w:r w:rsidRPr="4A57446F">
        <w:rPr>
          <w:rFonts w:ascii="Times New Roman" w:eastAsia="Times New Roman" w:hAnsi="Times New Roman" w:cs="Times New Roman"/>
          <w:sz w:val="24"/>
          <w:szCs w:val="24"/>
          <w:u w:val="single"/>
        </w:rPr>
        <w:t>.</w:t>
      </w:r>
    </w:p>
    <w:p w14:paraId="12D551AF" w14:textId="11FF6118" w:rsidR="00C91F4C" w:rsidRDefault="00C91F4C" w:rsidP="42E0D32A"/>
    <w:p w14:paraId="65D29B8F" w14:textId="48132FFB" w:rsidR="00CA2987" w:rsidRPr="00CA2987" w:rsidRDefault="42E0D32A" w:rsidP="42E0D32A">
      <w:pPr>
        <w:ind w:left="720"/>
        <w:rPr>
          <w:u w:val="single"/>
        </w:rPr>
      </w:pPr>
      <w:r w:rsidRPr="42E0D32A">
        <w:rPr>
          <w:b/>
          <w:bCs/>
          <w:u w:val="single"/>
        </w:rPr>
        <w:t>5.106.5.3.1 Office buildings</w:t>
      </w:r>
      <w:r w:rsidRPr="42E0D32A">
        <w:rPr>
          <w:u w:val="single"/>
        </w:rPr>
        <w:t>: In nonresidential new construction buildings designated primarily for office use with parking:</w:t>
      </w:r>
    </w:p>
    <w:p w14:paraId="5BA6ACD1" w14:textId="58E2D3C2" w:rsidR="00CA2987" w:rsidRPr="00CA2987" w:rsidRDefault="4A57446F" w:rsidP="009D38ED">
      <w:pPr>
        <w:pStyle w:val="ListParagraph"/>
        <w:numPr>
          <w:ilvl w:val="0"/>
          <w:numId w:val="8"/>
        </w:numPr>
        <w:contextualSpacing w:val="0"/>
        <w:rPr>
          <w:rFonts w:ascii="Times New Roman" w:eastAsia="Times New Roman" w:hAnsi="Times New Roman" w:cs="Times New Roman"/>
          <w:sz w:val="24"/>
          <w:szCs w:val="24"/>
          <w:u w:val="single"/>
        </w:rPr>
      </w:pPr>
      <w:r w:rsidRPr="4A57446F">
        <w:rPr>
          <w:rFonts w:ascii="Times New Roman" w:eastAsia="Times New Roman" w:hAnsi="Times New Roman" w:cs="Times New Roman"/>
          <w:sz w:val="24"/>
          <w:szCs w:val="24"/>
          <w:u w:val="single"/>
        </w:rPr>
        <w:lastRenderedPageBreak/>
        <w:t xml:space="preserve">When 10 or more parking spaces are constructed, 20% of the available parking spaces on site shall be equipped with Level 2 </w:t>
      </w:r>
      <w:proofErr w:type="gramStart"/>
      <w:r w:rsidRPr="4A57446F">
        <w:rPr>
          <w:rFonts w:ascii="Times New Roman" w:eastAsia="Times New Roman" w:hAnsi="Times New Roman" w:cs="Times New Roman"/>
          <w:sz w:val="24"/>
          <w:szCs w:val="24"/>
          <w:u w:val="single"/>
        </w:rPr>
        <w:t>EVCS;</w:t>
      </w:r>
      <w:proofErr w:type="gramEnd"/>
    </w:p>
    <w:p w14:paraId="6087AF54" w14:textId="3BC1F3BD" w:rsidR="00CA2987" w:rsidRPr="00CA2987" w:rsidRDefault="4A57446F" w:rsidP="009D38ED">
      <w:pPr>
        <w:pStyle w:val="ListParagraph"/>
        <w:numPr>
          <w:ilvl w:val="0"/>
          <w:numId w:val="8"/>
        </w:numPr>
        <w:contextualSpacing w:val="0"/>
        <w:rPr>
          <w:rFonts w:eastAsiaTheme="minorEastAsia"/>
          <w:sz w:val="24"/>
          <w:szCs w:val="24"/>
          <w:u w:val="single"/>
        </w:rPr>
      </w:pPr>
      <w:r w:rsidRPr="4A57446F">
        <w:rPr>
          <w:rFonts w:ascii="Times New Roman" w:eastAsia="Times New Roman" w:hAnsi="Times New Roman" w:cs="Times New Roman"/>
          <w:sz w:val="24"/>
          <w:szCs w:val="24"/>
          <w:u w:val="single"/>
        </w:rPr>
        <w:t>An additional 30% shall be at least EV Capable.</w:t>
      </w:r>
    </w:p>
    <w:p w14:paraId="505E1928" w14:textId="77777777" w:rsidR="00CA2987" w:rsidRPr="00CA2987" w:rsidRDefault="00CA2987" w:rsidP="42E0D32A">
      <w:pPr>
        <w:ind w:left="900"/>
        <w:rPr>
          <w:u w:val="single"/>
        </w:rPr>
      </w:pPr>
    </w:p>
    <w:p w14:paraId="44F80619" w14:textId="3899AF71" w:rsidR="00CA2987" w:rsidRPr="00CA2987" w:rsidRDefault="4A57446F" w:rsidP="42E0D32A">
      <w:pPr>
        <w:pStyle w:val="ListParagraph"/>
        <w:ind w:left="900"/>
        <w:rPr>
          <w:rFonts w:ascii="Times New Roman" w:eastAsia="Times New Roman" w:hAnsi="Times New Roman" w:cs="Times New Roman"/>
          <w:sz w:val="24"/>
          <w:szCs w:val="24"/>
          <w:u w:val="single"/>
        </w:rPr>
      </w:pPr>
      <w:r w:rsidRPr="4A57446F">
        <w:rPr>
          <w:rFonts w:ascii="Times New Roman" w:eastAsia="Times New Roman" w:hAnsi="Times New Roman" w:cs="Times New Roman"/>
          <w:sz w:val="24"/>
          <w:szCs w:val="24"/>
          <w:u w:val="single"/>
        </w:rPr>
        <w:t xml:space="preserve">Calculations for the required minimum number of spaces equipped with Level 2 EVCS spaces and EV Capable spaces shall all </w:t>
      </w:r>
      <w:proofErr w:type="gramStart"/>
      <w:r w:rsidRPr="4A57446F">
        <w:rPr>
          <w:rFonts w:ascii="Times New Roman" w:eastAsia="Times New Roman" w:hAnsi="Times New Roman" w:cs="Times New Roman"/>
          <w:sz w:val="24"/>
          <w:szCs w:val="24"/>
          <w:u w:val="single"/>
        </w:rPr>
        <w:t>be rounded</w:t>
      </w:r>
      <w:proofErr w:type="gramEnd"/>
      <w:r w:rsidRPr="4A57446F">
        <w:rPr>
          <w:rFonts w:ascii="Times New Roman" w:eastAsia="Times New Roman" w:hAnsi="Times New Roman" w:cs="Times New Roman"/>
          <w:sz w:val="24"/>
          <w:szCs w:val="24"/>
          <w:u w:val="single"/>
        </w:rPr>
        <w:t xml:space="preserve"> up to the nearest whole number.</w:t>
      </w:r>
    </w:p>
    <w:p w14:paraId="7A0EBC81" w14:textId="1A0F3B82" w:rsidR="00CA2987" w:rsidRDefault="4A57446F" w:rsidP="42E0D32A">
      <w:pPr>
        <w:ind w:left="900"/>
        <w:rPr>
          <w:u w:val="single"/>
        </w:rPr>
      </w:pPr>
      <w:r w:rsidRPr="4A57446F">
        <w:rPr>
          <w:u w:val="single"/>
        </w:rPr>
        <w:t>Construction plans and specifications shall demonstrate that all raceways shall be a minimum of 1” and sufficient for installation of EVCS at all required EV Capable spaces; Electrical calculations shall substantiate the design of the electrical system to include the rating of equipment and any on-site distribution transformers, and have sufficient capacity to simultaneously charge EVs at all required EV spaces including EV Capable spaces; and service panel or subpanel(s) shall have sufficient capacity to accommodate the required number of dedicated branch circuit(s) for the future installation of the EVSE.</w:t>
      </w:r>
    </w:p>
    <w:p w14:paraId="7682D60C" w14:textId="691EB3C6" w:rsidR="3E6D4988" w:rsidRDefault="3E6D4988" w:rsidP="4A57446F">
      <w:pPr>
        <w:rPr>
          <w:b/>
          <w:bCs/>
          <w:u w:val="single"/>
        </w:rPr>
      </w:pPr>
    </w:p>
    <w:p w14:paraId="22628F62" w14:textId="77777777" w:rsidR="00CA2987" w:rsidRPr="00CA2987" w:rsidRDefault="00CA2987" w:rsidP="42E0D32A">
      <w:pPr>
        <w:ind w:left="900"/>
        <w:rPr>
          <w:u w:val="single"/>
        </w:rPr>
      </w:pPr>
    </w:p>
    <w:p w14:paraId="3A237972" w14:textId="77777777" w:rsidR="00CA2987" w:rsidRPr="00CA2987" w:rsidRDefault="42E0D32A" w:rsidP="42E0D32A">
      <w:pPr>
        <w:ind w:left="900"/>
        <w:rPr>
          <w:u w:val="single"/>
        </w:rPr>
      </w:pPr>
      <w:r w:rsidRPr="42E0D32A">
        <w:rPr>
          <w:b/>
          <w:bCs/>
          <w:u w:val="single"/>
        </w:rPr>
        <w:t>5.106.5.3.2 Other nonresidential buildings</w:t>
      </w:r>
      <w:r w:rsidRPr="42E0D32A">
        <w:rPr>
          <w:u w:val="single"/>
        </w:rPr>
        <w:t xml:space="preserve">: In nonresidential new construction buildings that </w:t>
      </w:r>
      <w:proofErr w:type="gramStart"/>
      <w:r w:rsidRPr="42E0D32A">
        <w:rPr>
          <w:u w:val="single"/>
        </w:rPr>
        <w:t>are not designated</w:t>
      </w:r>
      <w:proofErr w:type="gramEnd"/>
      <w:r w:rsidRPr="42E0D32A">
        <w:rPr>
          <w:u w:val="single"/>
        </w:rPr>
        <w:t xml:space="preserve"> primarily for office use, such as retail or institutional uses:</w:t>
      </w:r>
    </w:p>
    <w:p w14:paraId="7DF6D1E4" w14:textId="62943BA6" w:rsidR="00CA2987" w:rsidRPr="00CA2987" w:rsidRDefault="4A57446F" w:rsidP="009D38ED">
      <w:pPr>
        <w:pStyle w:val="ListParagraph"/>
        <w:numPr>
          <w:ilvl w:val="0"/>
          <w:numId w:val="10"/>
        </w:numPr>
        <w:contextualSpacing w:val="0"/>
        <w:rPr>
          <w:rFonts w:ascii="Times New Roman" w:eastAsia="Times New Roman" w:hAnsi="Times New Roman" w:cs="Times New Roman"/>
          <w:sz w:val="24"/>
          <w:szCs w:val="24"/>
          <w:u w:val="single"/>
        </w:rPr>
      </w:pPr>
      <w:r w:rsidRPr="4A57446F">
        <w:rPr>
          <w:rFonts w:ascii="Times New Roman" w:eastAsia="Times New Roman" w:hAnsi="Times New Roman" w:cs="Times New Roman"/>
          <w:sz w:val="24"/>
          <w:szCs w:val="24"/>
          <w:u w:val="single"/>
        </w:rPr>
        <w:t xml:space="preserve">When 10 or more parking spaces are constructed, 10% of the available parking spaces on site shall be equipped with Level 2 </w:t>
      </w:r>
      <w:proofErr w:type="gramStart"/>
      <w:r w:rsidRPr="4A57446F">
        <w:rPr>
          <w:rFonts w:ascii="Times New Roman" w:eastAsia="Times New Roman" w:hAnsi="Times New Roman" w:cs="Times New Roman"/>
          <w:sz w:val="24"/>
          <w:szCs w:val="24"/>
          <w:u w:val="single"/>
        </w:rPr>
        <w:t>EVCS;</w:t>
      </w:r>
      <w:proofErr w:type="gramEnd"/>
    </w:p>
    <w:p w14:paraId="0B4D69C6" w14:textId="027A5E7F" w:rsidR="00CA2987" w:rsidRPr="00CA2987" w:rsidRDefault="4A57446F" w:rsidP="009D38ED">
      <w:pPr>
        <w:pStyle w:val="ListParagraph"/>
        <w:numPr>
          <w:ilvl w:val="0"/>
          <w:numId w:val="10"/>
        </w:numPr>
        <w:rPr>
          <w:rFonts w:ascii="Times New Roman" w:eastAsia="Times New Roman" w:hAnsi="Times New Roman" w:cs="Times New Roman"/>
          <w:sz w:val="24"/>
          <w:szCs w:val="24"/>
          <w:u w:val="single"/>
        </w:rPr>
      </w:pPr>
      <w:r w:rsidRPr="4A57446F">
        <w:rPr>
          <w:rFonts w:ascii="Times New Roman" w:eastAsia="Times New Roman" w:hAnsi="Times New Roman" w:cs="Times New Roman"/>
          <w:sz w:val="24"/>
          <w:szCs w:val="24"/>
          <w:u w:val="single"/>
        </w:rPr>
        <w:t xml:space="preserve">Calculations for the required minimum number of spaces equipped with Level 2 EVCS shall </w:t>
      </w:r>
      <w:proofErr w:type="gramStart"/>
      <w:r w:rsidRPr="4A57446F">
        <w:rPr>
          <w:rFonts w:ascii="Times New Roman" w:eastAsia="Times New Roman" w:hAnsi="Times New Roman" w:cs="Times New Roman"/>
          <w:sz w:val="24"/>
          <w:szCs w:val="24"/>
          <w:u w:val="single"/>
        </w:rPr>
        <w:t>be rounded</w:t>
      </w:r>
      <w:proofErr w:type="gramEnd"/>
      <w:r w:rsidRPr="4A57446F">
        <w:rPr>
          <w:rFonts w:ascii="Times New Roman" w:eastAsia="Times New Roman" w:hAnsi="Times New Roman" w:cs="Times New Roman"/>
          <w:sz w:val="24"/>
          <w:szCs w:val="24"/>
          <w:u w:val="single"/>
        </w:rPr>
        <w:t xml:space="preserve"> up to the nearest whole number</w:t>
      </w:r>
    </w:p>
    <w:p w14:paraId="23B326C1" w14:textId="6379EB33" w:rsidR="00CA2987" w:rsidRPr="00CA2987" w:rsidRDefault="00CA2987" w:rsidP="4A57446F">
      <w:pPr>
        <w:ind w:left="1440"/>
        <w:rPr>
          <w:u w:val="single"/>
        </w:rPr>
      </w:pPr>
    </w:p>
    <w:p w14:paraId="4F269256" w14:textId="77777777" w:rsidR="00CA2987" w:rsidRPr="00CA2987" w:rsidRDefault="00CA2987" w:rsidP="42E0D32A">
      <w:pPr>
        <w:ind w:left="720"/>
        <w:rPr>
          <w:b/>
          <w:bCs/>
          <w:u w:val="single"/>
        </w:rPr>
      </w:pPr>
    </w:p>
    <w:p w14:paraId="15C8D19D" w14:textId="498BE84F" w:rsidR="00CA2987" w:rsidRPr="00CA2987" w:rsidRDefault="42E0D32A" w:rsidP="42E0D32A">
      <w:pPr>
        <w:ind w:left="720"/>
        <w:rPr>
          <w:u w:val="single"/>
        </w:rPr>
      </w:pPr>
      <w:r w:rsidRPr="42E0D32A">
        <w:rPr>
          <w:b/>
          <w:bCs/>
          <w:u w:val="single"/>
        </w:rPr>
        <w:t>5.106.5.3.3 Clean Air Vehicle Parking Designation.</w:t>
      </w:r>
      <w:r w:rsidRPr="42E0D32A">
        <w:rPr>
          <w:u w:val="single"/>
        </w:rPr>
        <w:t xml:space="preserve"> EVCS qualify as designated parking as described in Section 5.106.5.2 Designated parking for clean air vehicles.</w:t>
      </w:r>
    </w:p>
    <w:p w14:paraId="541E2018" w14:textId="77777777" w:rsidR="00CA2987" w:rsidRPr="00CA2987" w:rsidRDefault="00CA2987" w:rsidP="42E0D32A">
      <w:pPr>
        <w:ind w:left="720"/>
        <w:rPr>
          <w:u w:val="single"/>
        </w:rPr>
      </w:pPr>
    </w:p>
    <w:p w14:paraId="22C20B11" w14:textId="77777777" w:rsidR="00CA2987" w:rsidRPr="00CA2987" w:rsidRDefault="42E0D32A" w:rsidP="42E0D32A">
      <w:pPr>
        <w:ind w:left="1440"/>
        <w:rPr>
          <w:b/>
          <w:bCs/>
          <w:u w:val="single"/>
        </w:rPr>
      </w:pPr>
      <w:r w:rsidRPr="42E0D32A">
        <w:rPr>
          <w:b/>
          <w:bCs/>
          <w:u w:val="single"/>
        </w:rPr>
        <w:t>Notes:</w:t>
      </w:r>
    </w:p>
    <w:p w14:paraId="092F568F" w14:textId="77777777" w:rsidR="00CA2987" w:rsidRPr="00CA2987" w:rsidRDefault="42E0D32A" w:rsidP="009D38ED">
      <w:pPr>
        <w:pStyle w:val="ListParagraph"/>
        <w:numPr>
          <w:ilvl w:val="0"/>
          <w:numId w:val="11"/>
        </w:numPr>
        <w:ind w:left="2160"/>
        <w:contextualSpacing w:val="0"/>
        <w:rPr>
          <w:rFonts w:ascii="Times New Roman" w:eastAsia="Times New Roman" w:hAnsi="Times New Roman" w:cs="Times New Roman"/>
          <w:sz w:val="24"/>
          <w:szCs w:val="24"/>
          <w:u w:val="single"/>
        </w:rPr>
      </w:pPr>
      <w:r w:rsidRPr="42E0D32A">
        <w:rPr>
          <w:rFonts w:ascii="Times New Roman" w:eastAsia="Times New Roman" w:hAnsi="Times New Roman" w:cs="Times New Roman"/>
          <w:sz w:val="24"/>
          <w:szCs w:val="24"/>
          <w:u w:val="single"/>
        </w:rPr>
        <w:t xml:space="preserve">The California Department of Transportation adopts and publishes the California Manual on Uniform Traffic Control Devices (California MUTCD) to provide uniform standards and specifications for all official traffic control devices in California. Zero Emission Vehicle Signs and Pavement Markings can </w:t>
      </w:r>
      <w:proofErr w:type="gramStart"/>
      <w:r w:rsidRPr="42E0D32A">
        <w:rPr>
          <w:rFonts w:ascii="Times New Roman" w:eastAsia="Times New Roman" w:hAnsi="Times New Roman" w:cs="Times New Roman"/>
          <w:sz w:val="24"/>
          <w:szCs w:val="24"/>
          <w:u w:val="single"/>
        </w:rPr>
        <w:t>be found</w:t>
      </w:r>
      <w:proofErr w:type="gramEnd"/>
      <w:r w:rsidRPr="42E0D32A">
        <w:rPr>
          <w:rFonts w:ascii="Times New Roman" w:eastAsia="Times New Roman" w:hAnsi="Times New Roman" w:cs="Times New Roman"/>
          <w:sz w:val="24"/>
          <w:szCs w:val="24"/>
          <w:u w:val="single"/>
        </w:rPr>
        <w:t xml:space="preserve"> in the New Policies &amp; Directives number 13-01. www.dot.ca.gov/hq/traffops/policy/13-01.pdf.</w:t>
      </w:r>
    </w:p>
    <w:p w14:paraId="78185515" w14:textId="77777777" w:rsidR="00CA2987" w:rsidRPr="00CA2987" w:rsidRDefault="42E0D32A" w:rsidP="009D38ED">
      <w:pPr>
        <w:pStyle w:val="ListParagraph"/>
        <w:numPr>
          <w:ilvl w:val="0"/>
          <w:numId w:val="11"/>
        </w:numPr>
        <w:ind w:left="2160"/>
        <w:contextualSpacing w:val="0"/>
        <w:rPr>
          <w:rFonts w:ascii="Times New Roman" w:eastAsia="Times New Roman" w:hAnsi="Times New Roman" w:cs="Times New Roman"/>
          <w:sz w:val="24"/>
          <w:szCs w:val="24"/>
          <w:u w:val="single"/>
        </w:rPr>
      </w:pPr>
      <w:r w:rsidRPr="42E0D32A">
        <w:rPr>
          <w:rFonts w:ascii="Times New Roman" w:eastAsia="Times New Roman" w:hAnsi="Times New Roman" w:cs="Times New Roman"/>
          <w:sz w:val="24"/>
          <w:szCs w:val="24"/>
          <w:u w:val="single"/>
        </w:rPr>
        <w:t>See Vehicle Code Section 22511 for EV charging spaces signage in off-street parking facilities and for use of EV charging spaces.</w:t>
      </w:r>
    </w:p>
    <w:p w14:paraId="5884FC1E" w14:textId="77777777" w:rsidR="00CA2987" w:rsidRPr="00CA2987" w:rsidRDefault="42E0D32A" w:rsidP="009D38ED">
      <w:pPr>
        <w:pStyle w:val="ListParagraph"/>
        <w:numPr>
          <w:ilvl w:val="0"/>
          <w:numId w:val="11"/>
        </w:numPr>
        <w:ind w:left="2160"/>
        <w:contextualSpacing w:val="0"/>
        <w:rPr>
          <w:rFonts w:ascii="Times New Roman" w:eastAsia="Times New Roman" w:hAnsi="Times New Roman" w:cs="Times New Roman"/>
          <w:sz w:val="24"/>
          <w:szCs w:val="24"/>
          <w:u w:val="single"/>
        </w:rPr>
      </w:pPr>
      <w:r w:rsidRPr="42E0D32A">
        <w:rPr>
          <w:rFonts w:ascii="Times New Roman" w:eastAsia="Times New Roman" w:hAnsi="Times New Roman" w:cs="Times New Roman"/>
          <w:sz w:val="24"/>
          <w:szCs w:val="24"/>
          <w:u w:val="single"/>
        </w:rPr>
        <w:t xml:space="preserve">The Governor’s Office of Planning and Research published a Zero-Emission Vehicle Community Readiness Guidebook which provides </w:t>
      </w:r>
      <w:r w:rsidRPr="42E0D32A">
        <w:rPr>
          <w:rFonts w:ascii="Times New Roman" w:eastAsia="Times New Roman" w:hAnsi="Times New Roman" w:cs="Times New Roman"/>
          <w:sz w:val="24"/>
          <w:szCs w:val="24"/>
          <w:u w:val="single"/>
        </w:rPr>
        <w:lastRenderedPageBreak/>
        <w:t xml:space="preserve">helpful information for local governments, </w:t>
      </w:r>
      <w:proofErr w:type="gramStart"/>
      <w:r w:rsidRPr="42E0D32A">
        <w:rPr>
          <w:rFonts w:ascii="Times New Roman" w:eastAsia="Times New Roman" w:hAnsi="Times New Roman" w:cs="Times New Roman"/>
          <w:sz w:val="24"/>
          <w:szCs w:val="24"/>
          <w:u w:val="single"/>
        </w:rPr>
        <w:t>residents</w:t>
      </w:r>
      <w:proofErr w:type="gramEnd"/>
      <w:r w:rsidRPr="42E0D32A">
        <w:rPr>
          <w:rFonts w:ascii="Times New Roman" w:eastAsia="Times New Roman" w:hAnsi="Times New Roman" w:cs="Times New Roman"/>
          <w:sz w:val="24"/>
          <w:szCs w:val="24"/>
          <w:u w:val="single"/>
        </w:rPr>
        <w:t xml:space="preserve"> and businesses. www.opr.ca.gov/ docs/ZEV_Guidebook.pdf.</w:t>
      </w:r>
    </w:p>
    <w:p w14:paraId="00C8DD8C" w14:textId="67FFD51D" w:rsidR="00CA2987" w:rsidRDefault="42E0D32A" w:rsidP="009D38ED">
      <w:pPr>
        <w:pStyle w:val="ListParagraph"/>
        <w:numPr>
          <w:ilvl w:val="0"/>
          <w:numId w:val="11"/>
        </w:numPr>
        <w:ind w:left="2160"/>
        <w:contextualSpacing w:val="0"/>
        <w:rPr>
          <w:rFonts w:ascii="Times New Roman" w:eastAsia="Times New Roman" w:hAnsi="Times New Roman" w:cs="Times New Roman"/>
          <w:sz w:val="24"/>
          <w:szCs w:val="24"/>
          <w:u w:val="single"/>
        </w:rPr>
      </w:pPr>
      <w:r w:rsidRPr="42E0D32A">
        <w:rPr>
          <w:rFonts w:ascii="Times New Roman" w:eastAsia="Times New Roman" w:hAnsi="Times New Roman" w:cs="Times New Roman"/>
          <w:sz w:val="24"/>
          <w:szCs w:val="24"/>
          <w:u w:val="single"/>
        </w:rPr>
        <w:t>Section 11B-812 of the California Building Code requires that a facility providing EVCS for public and common use also provide one or more accessible EVCS as specified in Table 11B-228.3.2.1.</w:t>
      </w:r>
    </w:p>
    <w:p w14:paraId="4AFE4F2A" w14:textId="4E89BE27" w:rsidR="0096280D" w:rsidRPr="0096280D" w:rsidRDefault="4A57446F" w:rsidP="009D38ED">
      <w:pPr>
        <w:pStyle w:val="ListParagraph"/>
        <w:numPr>
          <w:ilvl w:val="0"/>
          <w:numId w:val="11"/>
        </w:numPr>
        <w:ind w:left="2160"/>
        <w:contextualSpacing w:val="0"/>
        <w:rPr>
          <w:rFonts w:eastAsiaTheme="minorEastAsia"/>
          <w:sz w:val="24"/>
          <w:szCs w:val="24"/>
          <w:u w:val="single"/>
        </w:rPr>
      </w:pPr>
      <w:r w:rsidRPr="4A57446F">
        <w:rPr>
          <w:rFonts w:ascii="Times New Roman" w:eastAsia="Times New Roman" w:hAnsi="Times New Roman" w:cs="Times New Roman"/>
          <w:sz w:val="24"/>
          <w:szCs w:val="24"/>
          <w:u w:val="single"/>
        </w:rPr>
        <w:t xml:space="preserve">It </w:t>
      </w:r>
      <w:proofErr w:type="gramStart"/>
      <w:r w:rsidRPr="4A57446F">
        <w:rPr>
          <w:rFonts w:ascii="Times New Roman" w:eastAsia="Times New Roman" w:hAnsi="Times New Roman" w:cs="Times New Roman"/>
          <w:sz w:val="24"/>
          <w:szCs w:val="24"/>
          <w:u w:val="single"/>
        </w:rPr>
        <w:t>is encouraged</w:t>
      </w:r>
      <w:proofErr w:type="gramEnd"/>
      <w:r w:rsidRPr="4A57446F">
        <w:rPr>
          <w:rFonts w:ascii="Times New Roman" w:eastAsia="Times New Roman" w:hAnsi="Times New Roman" w:cs="Times New Roman"/>
          <w:sz w:val="24"/>
          <w:szCs w:val="24"/>
          <w:u w:val="single"/>
        </w:rPr>
        <w:t xml:space="preserve"> that EV Ready parking spaces are designated as “EV preferred.”</w:t>
      </w:r>
    </w:p>
    <w:p w14:paraId="0D3C854D" w14:textId="081357F3" w:rsidR="00CA2987" w:rsidRPr="005D1A36" w:rsidRDefault="00CA2987" w:rsidP="4A57446F">
      <w:pPr>
        <w:rPr>
          <w:u w:val="single"/>
        </w:rPr>
      </w:pPr>
    </w:p>
    <w:p w14:paraId="0A87B6C9" w14:textId="457F3A38" w:rsidR="001E1329" w:rsidRPr="00CA2987" w:rsidRDefault="003B1154" w:rsidP="42E0D32A">
      <w:pPr>
        <w:rPr>
          <w:strike/>
        </w:rPr>
      </w:pPr>
      <w:r w:rsidRPr="42E0D32A">
        <w:rPr>
          <w:b/>
          <w:bCs/>
          <w:strike/>
        </w:rPr>
        <w:t>5.106.5.3.1</w:t>
      </w:r>
      <w:r w:rsidR="001E1329" w:rsidRPr="00CA2987">
        <w:rPr>
          <w:b/>
          <w:strike/>
        </w:rPr>
        <w:tab/>
      </w:r>
      <w:r w:rsidR="001E1329" w:rsidRPr="42E0D32A">
        <w:rPr>
          <w:b/>
          <w:bCs/>
          <w:strike/>
        </w:rPr>
        <w:t>Single charging space requirements. [</w:t>
      </w:r>
      <w:r w:rsidR="001E1329" w:rsidRPr="42E0D32A">
        <w:rPr>
          <w:strike/>
        </w:rPr>
        <w:t xml:space="preserve">N] When only a single charging space </w:t>
      </w:r>
      <w:proofErr w:type="gramStart"/>
      <w:r w:rsidR="001E1329" w:rsidRPr="42E0D32A">
        <w:rPr>
          <w:strike/>
        </w:rPr>
        <w:t>is required</w:t>
      </w:r>
      <w:proofErr w:type="gramEnd"/>
      <w:r w:rsidR="001E1329" w:rsidRPr="42E0D32A">
        <w:rPr>
          <w:strike/>
        </w:rPr>
        <w:t xml:space="preserve"> per Table 5.106.5.3.3, a raceway is required to be installed at the time of construction and shall be installed in accordance with the California Electrical Code. Construction plans and specifications shall include, but </w:t>
      </w:r>
      <w:proofErr w:type="gramStart"/>
      <w:r w:rsidR="001E1329" w:rsidRPr="42E0D32A">
        <w:rPr>
          <w:strike/>
        </w:rPr>
        <w:t>are not limited</w:t>
      </w:r>
      <w:proofErr w:type="gramEnd"/>
      <w:r w:rsidR="001E1329" w:rsidRPr="42E0D32A">
        <w:rPr>
          <w:strike/>
        </w:rPr>
        <w:t xml:space="preserve"> to, the following:</w:t>
      </w:r>
    </w:p>
    <w:p w14:paraId="137BEC87" w14:textId="357B8FA8" w:rsidR="001E1329" w:rsidRPr="00CA2987" w:rsidRDefault="42E0D32A" w:rsidP="009D38ED">
      <w:pPr>
        <w:pStyle w:val="ListParagraph"/>
        <w:numPr>
          <w:ilvl w:val="0"/>
          <w:numId w:val="13"/>
        </w:numPr>
        <w:rPr>
          <w:rFonts w:ascii="Times New Roman" w:eastAsia="Times New Roman" w:hAnsi="Times New Roman" w:cs="Times New Roman"/>
          <w:strike/>
          <w:sz w:val="24"/>
          <w:szCs w:val="24"/>
        </w:rPr>
      </w:pPr>
      <w:r w:rsidRPr="42E0D32A">
        <w:rPr>
          <w:rFonts w:ascii="Times New Roman" w:eastAsia="Times New Roman" w:hAnsi="Times New Roman" w:cs="Times New Roman"/>
          <w:strike/>
          <w:sz w:val="24"/>
          <w:szCs w:val="24"/>
        </w:rPr>
        <w:t>The type and location of the EVSE.</w:t>
      </w:r>
    </w:p>
    <w:p w14:paraId="142DB0AA" w14:textId="6042F646" w:rsidR="001E1329" w:rsidRPr="00CA2987" w:rsidRDefault="42E0D32A" w:rsidP="009D38ED">
      <w:pPr>
        <w:pStyle w:val="ListParagraph"/>
        <w:numPr>
          <w:ilvl w:val="0"/>
          <w:numId w:val="13"/>
        </w:numPr>
        <w:rPr>
          <w:rFonts w:ascii="Times New Roman" w:eastAsia="Times New Roman" w:hAnsi="Times New Roman" w:cs="Times New Roman"/>
          <w:strike/>
          <w:sz w:val="24"/>
          <w:szCs w:val="24"/>
        </w:rPr>
      </w:pPr>
      <w:r w:rsidRPr="42E0D32A">
        <w:rPr>
          <w:rFonts w:ascii="Times New Roman" w:eastAsia="Times New Roman" w:hAnsi="Times New Roman" w:cs="Times New Roman"/>
          <w:strike/>
          <w:sz w:val="24"/>
          <w:szCs w:val="24"/>
        </w:rPr>
        <w:t>A listed raceway capable of accommodating a 208/240-volt dedicated branch circuit.</w:t>
      </w:r>
    </w:p>
    <w:p w14:paraId="37DF3762" w14:textId="03EEB7E5" w:rsidR="001E1329" w:rsidRPr="00CA2987" w:rsidRDefault="42E0D32A" w:rsidP="009D38ED">
      <w:pPr>
        <w:pStyle w:val="ListParagraph"/>
        <w:numPr>
          <w:ilvl w:val="0"/>
          <w:numId w:val="13"/>
        </w:numPr>
        <w:rPr>
          <w:rFonts w:ascii="Times New Roman" w:eastAsia="Times New Roman" w:hAnsi="Times New Roman" w:cs="Times New Roman"/>
          <w:strike/>
          <w:sz w:val="24"/>
          <w:szCs w:val="24"/>
        </w:rPr>
      </w:pPr>
      <w:r w:rsidRPr="42E0D32A">
        <w:rPr>
          <w:rFonts w:ascii="Times New Roman" w:eastAsia="Times New Roman" w:hAnsi="Times New Roman" w:cs="Times New Roman"/>
          <w:strike/>
          <w:sz w:val="24"/>
          <w:szCs w:val="24"/>
        </w:rPr>
        <w:t>The raceway shall not be less than trade size 1.”</w:t>
      </w:r>
    </w:p>
    <w:p w14:paraId="095C8B56" w14:textId="78118535" w:rsidR="001E1329" w:rsidRPr="00CA2987" w:rsidRDefault="42E0D32A" w:rsidP="009D38ED">
      <w:pPr>
        <w:pStyle w:val="ListParagraph"/>
        <w:numPr>
          <w:ilvl w:val="0"/>
          <w:numId w:val="13"/>
        </w:numPr>
        <w:rPr>
          <w:rFonts w:ascii="Times New Roman" w:eastAsia="Times New Roman" w:hAnsi="Times New Roman" w:cs="Times New Roman"/>
          <w:strike/>
          <w:sz w:val="24"/>
          <w:szCs w:val="24"/>
        </w:rPr>
      </w:pPr>
      <w:r w:rsidRPr="42E0D32A">
        <w:rPr>
          <w:rFonts w:ascii="Times New Roman" w:eastAsia="Times New Roman" w:hAnsi="Times New Roman" w:cs="Times New Roman"/>
          <w:strike/>
          <w:sz w:val="24"/>
          <w:szCs w:val="24"/>
        </w:rPr>
        <w:t xml:space="preserve">The raceway shall originate at a service panel or a subpanel serving the </w:t>
      </w:r>
      <w:proofErr w:type="gramStart"/>
      <w:r w:rsidRPr="42E0D32A">
        <w:rPr>
          <w:rFonts w:ascii="Times New Roman" w:eastAsia="Times New Roman" w:hAnsi="Times New Roman" w:cs="Times New Roman"/>
          <w:strike/>
          <w:sz w:val="24"/>
          <w:szCs w:val="24"/>
        </w:rPr>
        <w:t>area, and</w:t>
      </w:r>
      <w:proofErr w:type="gramEnd"/>
      <w:r w:rsidRPr="42E0D32A">
        <w:rPr>
          <w:rFonts w:ascii="Times New Roman" w:eastAsia="Times New Roman" w:hAnsi="Times New Roman" w:cs="Times New Roman"/>
          <w:strike/>
          <w:sz w:val="24"/>
          <w:szCs w:val="24"/>
        </w:rPr>
        <w:t xml:space="preserve"> shall terminate in close proximity to the proposed location of the charging equipment and into a listed suitable cabinet, box, enclosure or equivalent.</w:t>
      </w:r>
    </w:p>
    <w:p w14:paraId="23DD048A" w14:textId="53304B39" w:rsidR="002C6DFE" w:rsidRPr="00CA2987" w:rsidRDefault="42E0D32A" w:rsidP="009D38ED">
      <w:pPr>
        <w:pStyle w:val="ListParagraph"/>
        <w:numPr>
          <w:ilvl w:val="0"/>
          <w:numId w:val="13"/>
        </w:numPr>
        <w:rPr>
          <w:rFonts w:ascii="Times New Roman" w:eastAsia="Times New Roman" w:hAnsi="Times New Roman" w:cs="Times New Roman"/>
          <w:b/>
          <w:bCs/>
          <w:strike/>
          <w:sz w:val="24"/>
          <w:szCs w:val="24"/>
        </w:rPr>
      </w:pPr>
      <w:r w:rsidRPr="42E0D32A">
        <w:rPr>
          <w:rFonts w:ascii="Times New Roman" w:eastAsia="Times New Roman" w:hAnsi="Times New Roman" w:cs="Times New Roman"/>
          <w:strike/>
          <w:sz w:val="24"/>
          <w:szCs w:val="24"/>
        </w:rPr>
        <w:t>The service panel or subpanel shall have sufficient capacity to accommodate a minimum 40- ampere dedicated branch circuit for the future installation of the EVSE.</w:t>
      </w:r>
    </w:p>
    <w:p w14:paraId="3E934BE6" w14:textId="77777777" w:rsidR="001E1329" w:rsidRPr="00CA2987" w:rsidRDefault="00654F01" w:rsidP="42E0D32A">
      <w:pPr>
        <w:rPr>
          <w:b/>
          <w:bCs/>
          <w:strike/>
        </w:rPr>
      </w:pPr>
      <w:r w:rsidRPr="42E0D32A">
        <w:rPr>
          <w:b/>
          <w:bCs/>
          <w:strike/>
        </w:rPr>
        <w:t>5.106.5.3.</w:t>
      </w:r>
      <w:r w:rsidR="001E1329" w:rsidRPr="42E0D32A">
        <w:rPr>
          <w:b/>
          <w:bCs/>
          <w:strike/>
        </w:rPr>
        <w:t>2</w:t>
      </w:r>
      <w:r w:rsidR="001E1329" w:rsidRPr="00CA2987">
        <w:rPr>
          <w:b/>
          <w:strike/>
        </w:rPr>
        <w:tab/>
      </w:r>
      <w:r w:rsidR="001E1329" w:rsidRPr="42E0D32A">
        <w:rPr>
          <w:b/>
          <w:bCs/>
          <w:strike/>
        </w:rPr>
        <w:t>Multiple charging space requirements.</w:t>
      </w:r>
    </w:p>
    <w:p w14:paraId="33D39916" w14:textId="45364F3B" w:rsidR="001E1329" w:rsidRPr="00CA2987" w:rsidRDefault="42E0D32A" w:rsidP="42E0D32A">
      <w:pPr>
        <w:rPr>
          <w:strike/>
        </w:rPr>
      </w:pPr>
      <w:r w:rsidRPr="42E0D32A">
        <w:rPr>
          <w:strike/>
        </w:rPr>
        <w:t xml:space="preserve">When multiple charging spaces </w:t>
      </w:r>
      <w:proofErr w:type="gramStart"/>
      <w:r w:rsidRPr="42E0D32A">
        <w:rPr>
          <w:strike/>
        </w:rPr>
        <w:t>are required</w:t>
      </w:r>
      <w:proofErr w:type="gramEnd"/>
      <w:r w:rsidRPr="42E0D32A">
        <w:rPr>
          <w:strike/>
        </w:rPr>
        <w:t xml:space="preserve"> per Table 5.106.5.3.3 raceway(s) is/are required to be installed at the time of construction and shall be installed in accordance with the California Electrical Code. Construction plans and specifications shall include, but </w:t>
      </w:r>
      <w:proofErr w:type="gramStart"/>
      <w:r w:rsidRPr="42E0D32A">
        <w:rPr>
          <w:strike/>
        </w:rPr>
        <w:t>are not limited</w:t>
      </w:r>
      <w:proofErr w:type="gramEnd"/>
      <w:r w:rsidRPr="42E0D32A">
        <w:rPr>
          <w:strike/>
        </w:rPr>
        <w:t xml:space="preserve"> to, the following:</w:t>
      </w:r>
    </w:p>
    <w:p w14:paraId="57A4B55C" w14:textId="36B581D5" w:rsidR="001E1329" w:rsidRPr="00CA2987" w:rsidRDefault="42E0D32A" w:rsidP="009D38ED">
      <w:pPr>
        <w:pStyle w:val="ListParagraph"/>
        <w:numPr>
          <w:ilvl w:val="0"/>
          <w:numId w:val="14"/>
        </w:numPr>
        <w:rPr>
          <w:rFonts w:ascii="Times New Roman" w:eastAsia="Times New Roman" w:hAnsi="Times New Roman" w:cs="Times New Roman"/>
          <w:strike/>
          <w:sz w:val="24"/>
          <w:szCs w:val="24"/>
        </w:rPr>
      </w:pPr>
      <w:r w:rsidRPr="42E0D32A">
        <w:rPr>
          <w:rFonts w:ascii="Times New Roman" w:eastAsia="Times New Roman" w:hAnsi="Times New Roman" w:cs="Times New Roman"/>
          <w:strike/>
          <w:sz w:val="24"/>
          <w:szCs w:val="24"/>
        </w:rPr>
        <w:t>The type and location of the EVSE.</w:t>
      </w:r>
    </w:p>
    <w:p w14:paraId="64CE787D" w14:textId="5C1C9D85" w:rsidR="001E1329" w:rsidRPr="00CA2987" w:rsidRDefault="42E0D32A" w:rsidP="009D38ED">
      <w:pPr>
        <w:pStyle w:val="ListParagraph"/>
        <w:numPr>
          <w:ilvl w:val="0"/>
          <w:numId w:val="14"/>
        </w:numPr>
        <w:rPr>
          <w:rFonts w:ascii="Times New Roman" w:eastAsia="Times New Roman" w:hAnsi="Times New Roman" w:cs="Times New Roman"/>
          <w:strike/>
          <w:sz w:val="24"/>
          <w:szCs w:val="24"/>
        </w:rPr>
      </w:pPr>
      <w:r w:rsidRPr="42E0D32A">
        <w:rPr>
          <w:rFonts w:ascii="Times New Roman" w:eastAsia="Times New Roman" w:hAnsi="Times New Roman" w:cs="Times New Roman"/>
          <w:strike/>
          <w:sz w:val="24"/>
          <w:szCs w:val="24"/>
        </w:rPr>
        <w:t xml:space="preserve">The raceway(s) shall originate at a service panel or a subpanel(s) serving the </w:t>
      </w:r>
      <w:proofErr w:type="gramStart"/>
      <w:r w:rsidRPr="42E0D32A">
        <w:rPr>
          <w:rFonts w:ascii="Times New Roman" w:eastAsia="Times New Roman" w:hAnsi="Times New Roman" w:cs="Times New Roman"/>
          <w:strike/>
          <w:sz w:val="24"/>
          <w:szCs w:val="24"/>
        </w:rPr>
        <w:t>area,  and</w:t>
      </w:r>
      <w:proofErr w:type="gramEnd"/>
      <w:r w:rsidRPr="42E0D32A">
        <w:rPr>
          <w:rFonts w:ascii="Times New Roman" w:eastAsia="Times New Roman" w:hAnsi="Times New Roman" w:cs="Times New Roman"/>
          <w:strike/>
          <w:sz w:val="24"/>
          <w:szCs w:val="24"/>
        </w:rPr>
        <w:t xml:space="preserve"> shall terminate in close proximity to the proposed location of the charging equipment and into listed suitable cabinet(s), box(es), enclosure(s) or equivalent.</w:t>
      </w:r>
    </w:p>
    <w:p w14:paraId="5FF14D18" w14:textId="4BD8FE2D" w:rsidR="001E1329" w:rsidRPr="00CA2987" w:rsidRDefault="42E0D32A" w:rsidP="009D38ED">
      <w:pPr>
        <w:pStyle w:val="ListParagraph"/>
        <w:numPr>
          <w:ilvl w:val="0"/>
          <w:numId w:val="14"/>
        </w:numPr>
        <w:rPr>
          <w:rFonts w:ascii="Times New Roman" w:eastAsia="Times New Roman" w:hAnsi="Times New Roman" w:cs="Times New Roman"/>
          <w:strike/>
          <w:sz w:val="24"/>
          <w:szCs w:val="24"/>
        </w:rPr>
      </w:pPr>
      <w:r w:rsidRPr="42E0D32A">
        <w:rPr>
          <w:rFonts w:ascii="Times New Roman" w:eastAsia="Times New Roman" w:hAnsi="Times New Roman" w:cs="Times New Roman"/>
          <w:strike/>
          <w:sz w:val="24"/>
          <w:szCs w:val="24"/>
        </w:rPr>
        <w:t>Plan design shall be based upon 40-ampere mini- mum branch circuits.</w:t>
      </w:r>
    </w:p>
    <w:p w14:paraId="4E3F1FA8" w14:textId="2D477833" w:rsidR="001E1329" w:rsidRPr="00CA2987" w:rsidRDefault="42E0D32A" w:rsidP="009D38ED">
      <w:pPr>
        <w:pStyle w:val="ListParagraph"/>
        <w:numPr>
          <w:ilvl w:val="0"/>
          <w:numId w:val="14"/>
        </w:numPr>
        <w:rPr>
          <w:rFonts w:ascii="Times New Roman" w:eastAsia="Times New Roman" w:hAnsi="Times New Roman" w:cs="Times New Roman"/>
          <w:strike/>
          <w:sz w:val="24"/>
          <w:szCs w:val="24"/>
        </w:rPr>
      </w:pPr>
      <w:r w:rsidRPr="42E0D32A">
        <w:rPr>
          <w:rFonts w:ascii="Times New Roman" w:eastAsia="Times New Roman" w:hAnsi="Times New Roman" w:cs="Times New Roman"/>
          <w:strike/>
          <w:sz w:val="24"/>
          <w:szCs w:val="24"/>
        </w:rPr>
        <w:t>Electrical calculations shall substantiate the design of the electrical system, to include the rating of equipment and any on-site distribution</w:t>
      </w:r>
    </w:p>
    <w:p w14:paraId="66AE4406" w14:textId="77777777" w:rsidR="001E1329" w:rsidRPr="00CA2987" w:rsidRDefault="42E0D32A" w:rsidP="009D38ED">
      <w:pPr>
        <w:pStyle w:val="ListParagraph"/>
        <w:numPr>
          <w:ilvl w:val="0"/>
          <w:numId w:val="14"/>
        </w:numPr>
        <w:rPr>
          <w:rFonts w:ascii="Times New Roman" w:eastAsia="Times New Roman" w:hAnsi="Times New Roman" w:cs="Times New Roman"/>
          <w:strike/>
          <w:sz w:val="24"/>
          <w:szCs w:val="24"/>
        </w:rPr>
      </w:pPr>
      <w:r w:rsidRPr="42E0D32A">
        <w:rPr>
          <w:rFonts w:ascii="Times New Roman" w:eastAsia="Times New Roman" w:hAnsi="Times New Roman" w:cs="Times New Roman"/>
          <w:strike/>
          <w:sz w:val="24"/>
          <w:szCs w:val="24"/>
        </w:rPr>
        <w:t>transformers and have sufficient capacity to simultaneously charge all required EVs at its full rated amperage.</w:t>
      </w:r>
    </w:p>
    <w:p w14:paraId="46748BC5" w14:textId="11C7810D" w:rsidR="001E1329" w:rsidRPr="00CA2987" w:rsidRDefault="42E0D32A" w:rsidP="009D38ED">
      <w:pPr>
        <w:pStyle w:val="ListParagraph"/>
        <w:numPr>
          <w:ilvl w:val="0"/>
          <w:numId w:val="14"/>
        </w:numPr>
        <w:rPr>
          <w:rFonts w:ascii="Times New Roman" w:eastAsia="Times New Roman" w:hAnsi="Times New Roman" w:cs="Times New Roman"/>
          <w:strike/>
          <w:sz w:val="24"/>
          <w:szCs w:val="24"/>
        </w:rPr>
      </w:pPr>
      <w:r w:rsidRPr="42E0D32A">
        <w:rPr>
          <w:rFonts w:ascii="Times New Roman" w:eastAsia="Times New Roman" w:hAnsi="Times New Roman" w:cs="Times New Roman"/>
          <w:strike/>
          <w:sz w:val="24"/>
          <w:szCs w:val="24"/>
        </w:rPr>
        <w:t>The service panel or subpanel(s) shall have sufficient capacity to accommodate the required number of dedicated branch circuit(s) for the future installation of the EVSE.</w:t>
      </w:r>
    </w:p>
    <w:p w14:paraId="3B75CFAD" w14:textId="1D30B314" w:rsidR="003B1154" w:rsidRPr="00C91F4C" w:rsidRDefault="001E1329" w:rsidP="42E0D32A">
      <w:pPr>
        <w:rPr>
          <w:strike/>
        </w:rPr>
      </w:pPr>
      <w:r w:rsidRPr="42E0D32A">
        <w:rPr>
          <w:b/>
          <w:bCs/>
          <w:strike/>
        </w:rPr>
        <w:t>5.106.5.3.3</w:t>
      </w:r>
      <w:r w:rsidRPr="00C91F4C">
        <w:rPr>
          <w:b/>
          <w:strike/>
        </w:rPr>
        <w:tab/>
      </w:r>
      <w:r w:rsidR="00514244" w:rsidRPr="42E0D32A">
        <w:rPr>
          <w:strike/>
        </w:rPr>
        <w:t xml:space="preserve">EV </w:t>
      </w:r>
      <w:r w:rsidRPr="42E0D32A">
        <w:rPr>
          <w:b/>
          <w:bCs/>
          <w:strike/>
        </w:rPr>
        <w:t>charging space calculation.</w:t>
      </w:r>
      <w:r w:rsidRPr="42E0D32A">
        <w:rPr>
          <w:strike/>
        </w:rPr>
        <w:t xml:space="preserve"> [N] Table 5.106.5.3.3 shall </w:t>
      </w:r>
      <w:proofErr w:type="gramStart"/>
      <w:r w:rsidRPr="42E0D32A">
        <w:rPr>
          <w:strike/>
        </w:rPr>
        <w:t>be used</w:t>
      </w:r>
      <w:proofErr w:type="gramEnd"/>
      <w:r w:rsidRPr="42E0D32A">
        <w:rPr>
          <w:strike/>
        </w:rPr>
        <w:t xml:space="preserve"> to determine if single or multiple charging space requirements apply for the future installation of EVSE</w:t>
      </w:r>
      <w:r w:rsidR="00514244" w:rsidRPr="42E0D32A">
        <w:rPr>
          <w:strike/>
        </w:rPr>
        <w:t>.</w:t>
      </w:r>
    </w:p>
    <w:p w14:paraId="22B5B7FA" w14:textId="73F65353" w:rsidR="001E1329" w:rsidRDefault="42E0D32A" w:rsidP="42E0D32A">
      <w:pPr>
        <w:rPr>
          <w:strike/>
        </w:rPr>
      </w:pPr>
      <w:r w:rsidRPr="42E0D32A">
        <w:rPr>
          <w:strike/>
        </w:rPr>
        <w:t>Exceptions: On a case-by-case basis where the local enforcing agency has determined EV charging and infrastructure is not feasible based upon one or more of the following conditions:</w:t>
      </w:r>
    </w:p>
    <w:p w14:paraId="25178A7C" w14:textId="77777777" w:rsidR="00CA2987" w:rsidRPr="00CA2987" w:rsidRDefault="42E0D32A" w:rsidP="009D38ED">
      <w:pPr>
        <w:pStyle w:val="ListParagraph"/>
        <w:numPr>
          <w:ilvl w:val="0"/>
          <w:numId w:val="15"/>
        </w:numPr>
        <w:rPr>
          <w:rFonts w:ascii="Times New Roman" w:eastAsia="Times New Roman" w:hAnsi="Times New Roman" w:cs="Times New Roman"/>
          <w:strike/>
          <w:sz w:val="24"/>
          <w:szCs w:val="24"/>
        </w:rPr>
      </w:pPr>
      <w:r w:rsidRPr="42E0D32A">
        <w:rPr>
          <w:rFonts w:ascii="Times New Roman" w:eastAsia="Times New Roman" w:hAnsi="Times New Roman" w:cs="Times New Roman"/>
          <w:strike/>
          <w:sz w:val="24"/>
          <w:szCs w:val="24"/>
        </w:rPr>
        <w:lastRenderedPageBreak/>
        <w:t>Where there is insufficient electrical supply</w:t>
      </w:r>
    </w:p>
    <w:p w14:paraId="0B90C8B5" w14:textId="19F33D34" w:rsidR="001E1329" w:rsidRDefault="42E0D32A" w:rsidP="009D38ED">
      <w:pPr>
        <w:pStyle w:val="ListParagraph"/>
        <w:numPr>
          <w:ilvl w:val="0"/>
          <w:numId w:val="15"/>
        </w:numPr>
        <w:rPr>
          <w:rFonts w:ascii="Times New Roman" w:eastAsia="Times New Roman" w:hAnsi="Times New Roman" w:cs="Times New Roman"/>
          <w:strike/>
          <w:sz w:val="24"/>
          <w:szCs w:val="24"/>
        </w:rPr>
      </w:pPr>
      <w:r w:rsidRPr="42E0D32A">
        <w:rPr>
          <w:rFonts w:ascii="Times New Roman" w:eastAsia="Times New Roman" w:hAnsi="Times New Roman" w:cs="Times New Roman"/>
          <w:strike/>
          <w:sz w:val="24"/>
          <w:szCs w:val="24"/>
        </w:rPr>
        <w:t>Where there is evidence suitable to the local enforcing agency substantiating that additional local utility infrastructure design requirements, directly related to the implementation of Section 5.106.5.3, may adversely impact the construction cost of the project.</w:t>
      </w:r>
    </w:p>
    <w:p w14:paraId="237FBB13" w14:textId="17B4A154" w:rsidR="00CA2987" w:rsidRDefault="00CA2987" w:rsidP="42E0D32A">
      <w:pPr>
        <w:rPr>
          <w:strike/>
        </w:rPr>
      </w:pPr>
    </w:p>
    <w:p w14:paraId="079DC858" w14:textId="5A636691" w:rsidR="00CA2987" w:rsidRPr="00CA2987" w:rsidRDefault="00CA2987" w:rsidP="42E0D32A">
      <w:pPr>
        <w:rPr>
          <w:strike/>
        </w:rPr>
      </w:pPr>
      <w:r>
        <w:rPr>
          <w:noProof/>
        </w:rPr>
        <w:drawing>
          <wp:inline distT="0" distB="0" distL="0" distR="0" wp14:anchorId="3262AB95" wp14:editId="14F38072">
            <wp:extent cx="4238625" cy="26568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7">
                      <a:extLst>
                        <a:ext uri="{28A0092B-C50C-407E-A947-70E740481C1C}">
                          <a14:useLocalDpi xmlns:a14="http://schemas.microsoft.com/office/drawing/2010/main" val="0"/>
                        </a:ext>
                      </a:extLst>
                    </a:blip>
                    <a:stretch>
                      <a:fillRect/>
                    </a:stretch>
                  </pic:blipFill>
                  <pic:spPr>
                    <a:xfrm>
                      <a:off x="0" y="0"/>
                      <a:ext cx="4238625" cy="2656819"/>
                    </a:xfrm>
                    <a:prstGeom prst="rect">
                      <a:avLst/>
                    </a:prstGeom>
                  </pic:spPr>
                </pic:pic>
              </a:graphicData>
            </a:graphic>
          </wp:inline>
        </w:drawing>
      </w:r>
    </w:p>
    <w:p w14:paraId="1A2F8BDA" w14:textId="77777777" w:rsidR="001E1329" w:rsidRPr="005D1A36" w:rsidRDefault="001E1329" w:rsidP="42E0D32A"/>
    <w:p w14:paraId="2D14D8CD" w14:textId="1F957395" w:rsidR="001E1329" w:rsidRDefault="6538F3BF" w:rsidP="42E0D32A">
      <w:r w:rsidRPr="6538F3BF">
        <w:rPr>
          <w:b/>
          <w:bCs/>
        </w:rPr>
        <w:t>5.106.5.3.4</w:t>
      </w:r>
      <w:r w:rsidR="001E1329">
        <w:tab/>
      </w:r>
      <w:r w:rsidRPr="6538F3BF">
        <w:rPr>
          <w:b/>
          <w:bCs/>
        </w:rPr>
        <w:t>[N] Identification.</w:t>
      </w:r>
      <w:r>
        <w:t xml:space="preserve"> </w:t>
      </w:r>
      <w:r w:rsidRPr="6538F3BF">
        <w:rPr>
          <w:strike/>
        </w:rPr>
        <w:t xml:space="preserve">The service panel or subpanel(s) circuit directory shall identify the reserved overcurrent protective device space(s) for future EV charging as “EV CAPABLE”. </w:t>
      </w:r>
      <w:r>
        <w:t xml:space="preserve">The raceway termination location shall </w:t>
      </w:r>
      <w:proofErr w:type="gramStart"/>
      <w:r>
        <w:t>be permanently and visibly marked</w:t>
      </w:r>
      <w:proofErr w:type="gramEnd"/>
      <w:r>
        <w:t xml:space="preserve"> as “EV </w:t>
      </w:r>
      <w:r w:rsidRPr="6538F3BF">
        <w:rPr>
          <w:strike/>
        </w:rPr>
        <w:t>CAPABLE</w:t>
      </w:r>
      <w:r>
        <w:t xml:space="preserve"> Ready”.</w:t>
      </w:r>
    </w:p>
    <w:p w14:paraId="67F8E97B" w14:textId="40942BB0" w:rsidR="00B2150B" w:rsidRPr="005D1A36" w:rsidRDefault="00B2150B" w:rsidP="6538F3BF">
      <w:pPr>
        <w:rPr>
          <w:b/>
          <w:bCs/>
          <w:u w:val="single"/>
        </w:rPr>
      </w:pPr>
    </w:p>
    <w:p w14:paraId="6C1388D7" w14:textId="3844732E" w:rsidR="00B2150B" w:rsidRPr="005D1A36" w:rsidRDefault="5F8F02A4" w:rsidP="5F8F02A4">
      <w:pPr>
        <w:rPr>
          <w:u w:val="single"/>
        </w:rPr>
      </w:pPr>
      <w:r w:rsidRPr="5F8F02A4">
        <w:rPr>
          <w:b/>
          <w:bCs/>
          <w:u w:val="single"/>
        </w:rPr>
        <w:t>5.106.5.3.5 Automated Load Management Systems</w:t>
      </w:r>
      <w:r w:rsidRPr="5F8F02A4">
        <w:rPr>
          <w:u w:val="single"/>
        </w:rPr>
        <w:t xml:space="preserve">. </w:t>
      </w:r>
    </w:p>
    <w:p w14:paraId="575DF179" w14:textId="440547A3" w:rsidR="00B2150B" w:rsidRPr="005D1A36" w:rsidRDefault="5F8F02A4" w:rsidP="5F8F02A4">
      <w:pPr>
        <w:pStyle w:val="ListParagraph"/>
        <w:numPr>
          <w:ilvl w:val="0"/>
          <w:numId w:val="1"/>
        </w:numPr>
        <w:rPr>
          <w:rFonts w:eastAsiaTheme="minorEastAsia"/>
          <w:sz w:val="24"/>
          <w:szCs w:val="24"/>
          <w:u w:val="single"/>
        </w:rPr>
      </w:pPr>
      <w:r w:rsidRPr="5F8F02A4">
        <w:rPr>
          <w:rFonts w:ascii="Times New Roman" w:eastAsia="Times New Roman" w:hAnsi="Times New Roman" w:cs="Times New Roman"/>
          <w:sz w:val="24"/>
          <w:szCs w:val="24"/>
          <w:u w:val="single"/>
        </w:rPr>
        <w:t xml:space="preserve">As defined in Section 2, ALMS shall </w:t>
      </w:r>
      <w:proofErr w:type="gramStart"/>
      <w:r w:rsidRPr="5F8F02A4">
        <w:rPr>
          <w:rFonts w:ascii="Times New Roman" w:eastAsia="Times New Roman" w:hAnsi="Times New Roman" w:cs="Times New Roman"/>
          <w:sz w:val="24"/>
          <w:szCs w:val="24"/>
          <w:u w:val="single"/>
        </w:rPr>
        <w:t>be allowed</w:t>
      </w:r>
      <w:proofErr w:type="gramEnd"/>
      <w:r w:rsidRPr="5F8F02A4">
        <w:rPr>
          <w:rFonts w:ascii="Times New Roman" w:eastAsia="Times New Roman" w:hAnsi="Times New Roman" w:cs="Times New Roman"/>
          <w:sz w:val="24"/>
          <w:szCs w:val="24"/>
          <w:u w:val="single"/>
        </w:rPr>
        <w:t xml:space="preserve"> to meet the requirements of 5.106.5.3.1 and 5.106.5.3.2.</w:t>
      </w:r>
    </w:p>
    <w:p w14:paraId="61345D2B" w14:textId="3A68E70D" w:rsidR="5F8F02A4" w:rsidRDefault="5F8F02A4" w:rsidP="5F8F02A4">
      <w:pPr>
        <w:pStyle w:val="ListParagraph"/>
        <w:numPr>
          <w:ilvl w:val="0"/>
          <w:numId w:val="1"/>
        </w:numPr>
        <w:rPr>
          <w:rFonts w:eastAsiaTheme="minorEastAsia"/>
          <w:sz w:val="24"/>
          <w:szCs w:val="24"/>
          <w:u w:val="single"/>
        </w:rPr>
      </w:pPr>
      <w:r w:rsidRPr="5F8F02A4">
        <w:rPr>
          <w:rFonts w:ascii="Times New Roman" w:eastAsia="Times New Roman" w:hAnsi="Times New Roman" w:cs="Times New Roman"/>
          <w:sz w:val="24"/>
          <w:szCs w:val="24"/>
          <w:u w:val="single"/>
        </w:rPr>
        <w:t xml:space="preserve">Where ALMS serve Direct Current Fast Charging stations, the power demand from the Direct Current Fast Charging station shall </w:t>
      </w:r>
      <w:proofErr w:type="gramStart"/>
      <w:r w:rsidRPr="5F8F02A4">
        <w:rPr>
          <w:rFonts w:ascii="Times New Roman" w:eastAsia="Times New Roman" w:hAnsi="Times New Roman" w:cs="Times New Roman"/>
          <w:sz w:val="24"/>
          <w:szCs w:val="24"/>
          <w:u w:val="single"/>
        </w:rPr>
        <w:t>be prioritized</w:t>
      </w:r>
      <w:proofErr w:type="gramEnd"/>
      <w:r w:rsidRPr="5F8F02A4">
        <w:rPr>
          <w:rFonts w:ascii="Times New Roman" w:eastAsia="Times New Roman" w:hAnsi="Times New Roman" w:cs="Times New Roman"/>
          <w:sz w:val="24"/>
          <w:szCs w:val="24"/>
          <w:u w:val="single"/>
        </w:rPr>
        <w:t xml:space="preserve"> above Level 1 and Level 2  spaces.</w:t>
      </w:r>
    </w:p>
    <w:p w14:paraId="4AEA9F34" w14:textId="3F844EAC" w:rsidR="00B2150B" w:rsidRPr="005D1A36" w:rsidRDefault="00B2150B" w:rsidP="6538F3BF"/>
    <w:p w14:paraId="0C663C24" w14:textId="031527D8" w:rsidR="00654F01" w:rsidRPr="00737AC0" w:rsidRDefault="001E1329" w:rsidP="42E0D32A">
      <w:pPr>
        <w:rPr>
          <w:strike/>
        </w:rPr>
      </w:pPr>
      <w:r w:rsidRPr="42E0D32A">
        <w:rPr>
          <w:b/>
          <w:bCs/>
          <w:strike/>
        </w:rPr>
        <w:t>5.106.5.3.5</w:t>
      </w:r>
      <w:r w:rsidRPr="00737AC0">
        <w:rPr>
          <w:b/>
          <w:strike/>
        </w:rPr>
        <w:tab/>
      </w:r>
      <w:r w:rsidRPr="42E0D32A">
        <w:rPr>
          <w:b/>
          <w:bCs/>
          <w:strike/>
        </w:rPr>
        <w:t>[N]</w:t>
      </w:r>
      <w:r w:rsidRPr="42E0D32A">
        <w:rPr>
          <w:strike/>
        </w:rPr>
        <w:t xml:space="preserve"> Future charging spaces qualify as designated parking as described in Section 5.106.5.2 Designated parking for clean air vehicles.</w:t>
      </w:r>
      <w:bookmarkEnd w:id="6"/>
    </w:p>
    <w:sectPr w:rsidR="00654F01" w:rsidRPr="00737AC0" w:rsidSect="00EF2A80">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Farhad Farahmand" w:date="2021-02-16T22:23:00Z" w:initials="FF">
    <w:p w14:paraId="0844E9AA" w14:textId="0686677F" w:rsidR="41996415" w:rsidRDefault="41996415">
      <w:pPr>
        <w:pStyle w:val="CommentText"/>
      </w:pPr>
      <w:r>
        <w:t xml:space="preserve">If electrical capacity </w:t>
      </w:r>
      <w:proofErr w:type="gramStart"/>
      <w:r>
        <w:t>is anticipated</w:t>
      </w:r>
      <w:proofErr w:type="gramEnd"/>
      <w:r>
        <w:t xml:space="preserve"> to be a significant constraint in your City, you may reduce this amperage from 20 to 15. </w:t>
      </w:r>
      <w:r>
        <w:rPr>
          <w:rStyle w:val="CommentReference"/>
        </w:rPr>
        <w:annotationRef/>
      </w:r>
    </w:p>
    <w:p w14:paraId="78BBB8F4" w14:textId="56C0BE22" w:rsidR="41996415" w:rsidRDefault="41996415">
      <w:pPr>
        <w:pStyle w:val="CommentText"/>
      </w:pPr>
    </w:p>
    <w:p w14:paraId="417D4463" w14:textId="7449E333" w:rsidR="41996415" w:rsidRDefault="41996415">
      <w:pPr>
        <w:pStyle w:val="CommentText"/>
      </w:pPr>
      <w:r>
        <w:t xml:space="preserve">This results in a 25% reduction in required peak capacity associated with L1 </w:t>
      </w:r>
      <w:proofErr w:type="gramStart"/>
      <w:r>
        <w:t>spaces, and</w:t>
      </w:r>
      <w:proofErr w:type="gramEnd"/>
      <w:r>
        <w:t xml:space="preserve"> reduces the charging rate (20A</w:t>
      </w:r>
      <w:r w:rsidR="0008267A">
        <w:t xml:space="preserve"> circuit allows 15A which</w:t>
      </w:r>
      <w:r>
        <w:t xml:space="preserve"> delivers 60-70 miles in 10 </w:t>
      </w:r>
      <w:proofErr w:type="spellStart"/>
      <w:r>
        <w:t>hrs</w:t>
      </w:r>
      <w:proofErr w:type="spellEnd"/>
      <w:r>
        <w:t xml:space="preserve"> overnight, while 15A </w:t>
      </w:r>
      <w:r w:rsidR="0008267A">
        <w:t xml:space="preserve">circuit allows 12A which </w:t>
      </w:r>
      <w:r>
        <w:t>delivers 40-50 miles</w:t>
      </w:r>
      <w:r w:rsidR="00B83900">
        <w:t xml:space="preserve"> for a typical EV sedan. SUV ranges are lower.</w:t>
      </w:r>
      <w:r>
        <w:t>).</w:t>
      </w:r>
    </w:p>
  </w:comment>
  <w:comment w:id="7" w:author="Farhad Farahmand" w:date="2021-04-24T10:36:00Z" w:initials="FF">
    <w:p w14:paraId="3F604DC1" w14:textId="7326AC8E" w:rsidR="6538F3BF" w:rsidRDefault="6538F3BF">
      <w:pPr>
        <w:pStyle w:val="CommentText"/>
      </w:pPr>
      <w:r>
        <w:t>RR/PK: Locating exception here applies it to all commercial.</w:t>
      </w:r>
      <w:r>
        <w:rPr>
          <w:rStyle w:val="CommentReference"/>
        </w:rPr>
        <w:annotationRef/>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17D4463" w15:done="0"/>
  <w15:commentEx w15:paraId="3F604DC1"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0AB90BC2" w16cex:dateUtc="2021-02-17T06:23:00Z"/>
  <w16cex:commentExtensible w16cex:durableId="3388FA57" w16cex:dateUtc="2021-04-24T17: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17D4463" w16cid:durableId="0AB90BC2"/>
  <w16cid:commentId w16cid:paraId="3F604DC1" w16cid:durableId="3388FA5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B6FDCA" w14:textId="77777777" w:rsidR="00C73492" w:rsidRDefault="00C73492" w:rsidP="00E94A64">
      <w:r>
        <w:separator/>
      </w:r>
    </w:p>
  </w:endnote>
  <w:endnote w:type="continuationSeparator" w:id="0">
    <w:p w14:paraId="561D8EED" w14:textId="77777777" w:rsidR="00C73492" w:rsidRDefault="00C73492" w:rsidP="00E94A64">
      <w:r>
        <w:continuationSeparator/>
      </w:r>
    </w:p>
  </w:endnote>
  <w:endnote w:type="continuationNotice" w:id="1">
    <w:p w14:paraId="0C83B9E1" w14:textId="77777777" w:rsidR="00C73492" w:rsidRDefault="00C73492" w:rsidP="00E94A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8FA2D" w14:textId="77777777" w:rsidR="00B83900" w:rsidRDefault="00B839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9461125"/>
      <w:docPartObj>
        <w:docPartGallery w:val="Page Numbers (Bottom of Page)"/>
        <w:docPartUnique/>
      </w:docPartObj>
    </w:sdtPr>
    <w:sdtEndPr>
      <w:rPr>
        <w:noProof/>
      </w:rPr>
    </w:sdtEndPr>
    <w:sdtContent>
      <w:p w14:paraId="52EA91B4" w14:textId="5B14C6B4" w:rsidR="00AB4132" w:rsidRDefault="00AB413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E6762C0" w14:textId="77777777" w:rsidR="00AB4132" w:rsidRDefault="00AB4132" w:rsidP="00CF43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9F490" w14:textId="77777777" w:rsidR="00B83900" w:rsidRDefault="00B839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84ACA1" w14:textId="77777777" w:rsidR="00C73492" w:rsidRDefault="00C73492" w:rsidP="00E94A64">
      <w:r>
        <w:separator/>
      </w:r>
    </w:p>
  </w:footnote>
  <w:footnote w:type="continuationSeparator" w:id="0">
    <w:p w14:paraId="0645DB92" w14:textId="77777777" w:rsidR="00C73492" w:rsidRDefault="00C73492" w:rsidP="00E94A64">
      <w:r>
        <w:continuationSeparator/>
      </w:r>
    </w:p>
  </w:footnote>
  <w:footnote w:type="continuationNotice" w:id="1">
    <w:p w14:paraId="7D38F03C" w14:textId="77777777" w:rsidR="00C73492" w:rsidRDefault="00C73492" w:rsidP="00E94A6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3E961" w14:textId="77777777" w:rsidR="00B83900" w:rsidRDefault="00B839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A524E" w14:textId="49F6FF20" w:rsidR="00AB4132" w:rsidRDefault="00AB4132">
    <w:pPr>
      <w:pStyle w:val="Header"/>
      <w:jc w:val="center"/>
    </w:pPr>
    <w:r>
      <w:t>Electric Vehicle Infrastructure 2019 Reach Code Language</w:t>
    </w:r>
  </w:p>
  <w:p w14:paraId="7C146E54" w14:textId="2BA26CB5" w:rsidR="00AB4132" w:rsidRDefault="00AB4132">
    <w:pPr>
      <w:pStyle w:val="Header"/>
      <w:jc w:val="center"/>
    </w:pPr>
    <w:proofErr w:type="spellStart"/>
    <w:r>
      <w:t>CALGreen</w:t>
    </w:r>
    <w:proofErr w:type="spellEnd"/>
    <w:r>
      <w:t xml:space="preserve"> Format</w:t>
    </w:r>
  </w:p>
  <w:p w14:paraId="66748270" w14:textId="2C4AEE38" w:rsidR="00694018" w:rsidRDefault="4A57446F">
    <w:pPr>
      <w:pStyle w:val="Header"/>
      <w:jc w:val="center"/>
    </w:pPr>
    <w:r>
      <w:t>Version Date: May 2021</w:t>
    </w:r>
  </w:p>
  <w:p w14:paraId="719DC863" w14:textId="3A842F39" w:rsidR="00AB4132" w:rsidRDefault="00AB4132" w:rsidP="00CF6A8F">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D7FE1" w14:textId="77777777" w:rsidR="00B83900" w:rsidRDefault="00B839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9782F"/>
    <w:multiLevelType w:val="hybridMultilevel"/>
    <w:tmpl w:val="E164582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E3936"/>
    <w:multiLevelType w:val="hybridMultilevel"/>
    <w:tmpl w:val="28BE8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23F99"/>
    <w:multiLevelType w:val="hybridMultilevel"/>
    <w:tmpl w:val="E164582E"/>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7117FE"/>
    <w:multiLevelType w:val="hybridMultilevel"/>
    <w:tmpl w:val="E3A0F5BC"/>
    <w:lvl w:ilvl="0" w:tplc="FFFFFFFF">
      <w:start w:val="1"/>
      <w:numFmt w:val="decimal"/>
      <w:lvlText w:val="%1."/>
      <w:lvlJc w:val="left"/>
      <w:pPr>
        <w:ind w:left="1080" w:hanging="360"/>
      </w:pPr>
      <w:rPr>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EC30C96"/>
    <w:multiLevelType w:val="hybridMultilevel"/>
    <w:tmpl w:val="7CC2A4E0"/>
    <w:lvl w:ilvl="0" w:tplc="FFFFFFF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29051E0"/>
    <w:multiLevelType w:val="hybridMultilevel"/>
    <w:tmpl w:val="E164582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035716"/>
    <w:multiLevelType w:val="hybridMultilevel"/>
    <w:tmpl w:val="F8322BBA"/>
    <w:lvl w:ilvl="0" w:tplc="0409000F">
      <w:start w:val="1"/>
      <w:numFmt w:val="decimal"/>
      <w:lvlText w:val="%1."/>
      <w:lvlJc w:val="left"/>
      <w:pPr>
        <w:ind w:left="1440" w:hanging="360"/>
      </w:pPr>
      <w:rPr>
        <w:rFonts w:hint="default"/>
      </w:rPr>
    </w:lvl>
    <w:lvl w:ilvl="1" w:tplc="4EFA252E">
      <w:start w:val="1"/>
      <w:numFmt w:val="decimal"/>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A154B77"/>
    <w:multiLevelType w:val="hybridMultilevel"/>
    <w:tmpl w:val="F8322BBA"/>
    <w:lvl w:ilvl="0" w:tplc="0409000F">
      <w:start w:val="1"/>
      <w:numFmt w:val="decimal"/>
      <w:lvlText w:val="%1."/>
      <w:lvlJc w:val="left"/>
      <w:pPr>
        <w:ind w:left="1440" w:hanging="360"/>
      </w:pPr>
      <w:rPr>
        <w:rFonts w:hint="default"/>
      </w:rPr>
    </w:lvl>
    <w:lvl w:ilvl="1" w:tplc="4EFA252E">
      <w:start w:val="1"/>
      <w:numFmt w:val="decimal"/>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B984AF1"/>
    <w:multiLevelType w:val="hybridMultilevel"/>
    <w:tmpl w:val="A1C2F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843935"/>
    <w:multiLevelType w:val="hybridMultilevel"/>
    <w:tmpl w:val="F8322BBA"/>
    <w:lvl w:ilvl="0" w:tplc="0409000F">
      <w:start w:val="1"/>
      <w:numFmt w:val="decimal"/>
      <w:lvlText w:val="%1."/>
      <w:lvlJc w:val="left"/>
      <w:pPr>
        <w:ind w:left="1440" w:hanging="360"/>
      </w:pPr>
      <w:rPr>
        <w:rFonts w:hint="default"/>
      </w:rPr>
    </w:lvl>
    <w:lvl w:ilvl="1" w:tplc="4EFA252E">
      <w:start w:val="1"/>
      <w:numFmt w:val="decimal"/>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B3F573F"/>
    <w:multiLevelType w:val="hybridMultilevel"/>
    <w:tmpl w:val="F8322BBA"/>
    <w:lvl w:ilvl="0" w:tplc="0409000F">
      <w:start w:val="1"/>
      <w:numFmt w:val="decimal"/>
      <w:lvlText w:val="%1."/>
      <w:lvlJc w:val="left"/>
      <w:pPr>
        <w:ind w:left="1440" w:hanging="360"/>
      </w:pPr>
      <w:rPr>
        <w:rFonts w:hint="default"/>
      </w:rPr>
    </w:lvl>
    <w:lvl w:ilvl="1" w:tplc="4EFA252E">
      <w:start w:val="1"/>
      <w:numFmt w:val="decimal"/>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C451EDC"/>
    <w:multiLevelType w:val="hybridMultilevel"/>
    <w:tmpl w:val="12606CA8"/>
    <w:lvl w:ilvl="0" w:tplc="BF860AAC">
      <w:start w:val="1"/>
      <w:numFmt w:val="decimal"/>
      <w:lvlText w:val="%1."/>
      <w:lvlJc w:val="left"/>
      <w:pPr>
        <w:ind w:left="1080" w:hanging="360"/>
      </w:pPr>
      <w:rPr>
        <w:rFonts w:hint="default"/>
      </w:rPr>
    </w:lvl>
    <w:lvl w:ilvl="1" w:tplc="B93E2CD4">
      <w:start w:val="1"/>
      <w:numFmt w:val="decimal"/>
      <w:lvlText w:val="%1.%2."/>
      <w:lvlJc w:val="left"/>
      <w:pPr>
        <w:ind w:left="1512" w:hanging="432"/>
      </w:pPr>
    </w:lvl>
    <w:lvl w:ilvl="2" w:tplc="24041C6C">
      <w:start w:val="1"/>
      <w:numFmt w:val="decimal"/>
      <w:lvlText w:val="%1.%2.%3."/>
      <w:lvlJc w:val="left"/>
      <w:pPr>
        <w:ind w:left="1944" w:hanging="504"/>
      </w:pPr>
    </w:lvl>
    <w:lvl w:ilvl="3" w:tplc="BAA4BE8A">
      <w:start w:val="1"/>
      <w:numFmt w:val="decimal"/>
      <w:lvlText w:val="%1.%2.%3.%4."/>
      <w:lvlJc w:val="left"/>
      <w:pPr>
        <w:ind w:left="2448" w:hanging="648"/>
      </w:pPr>
    </w:lvl>
    <w:lvl w:ilvl="4" w:tplc="4E184AEC">
      <w:start w:val="1"/>
      <w:numFmt w:val="decimal"/>
      <w:lvlText w:val="%1.%2.%3.%4.%5."/>
      <w:lvlJc w:val="left"/>
      <w:pPr>
        <w:ind w:left="2952" w:hanging="792"/>
      </w:pPr>
    </w:lvl>
    <w:lvl w:ilvl="5" w:tplc="C8F4F04C">
      <w:start w:val="1"/>
      <w:numFmt w:val="decimal"/>
      <w:lvlText w:val="%1.%2.%3.%4.%5.%6."/>
      <w:lvlJc w:val="left"/>
      <w:pPr>
        <w:ind w:left="3456" w:hanging="936"/>
      </w:pPr>
    </w:lvl>
    <w:lvl w:ilvl="6" w:tplc="433E29FC">
      <w:start w:val="1"/>
      <w:numFmt w:val="decimal"/>
      <w:lvlText w:val="%1.%2.%3.%4.%5.%6.%7."/>
      <w:lvlJc w:val="left"/>
      <w:pPr>
        <w:ind w:left="3960" w:hanging="1080"/>
      </w:pPr>
    </w:lvl>
    <w:lvl w:ilvl="7" w:tplc="129A20E0">
      <w:start w:val="1"/>
      <w:numFmt w:val="decimal"/>
      <w:lvlText w:val="%1.%2.%3.%4.%5.%6.%7.%8."/>
      <w:lvlJc w:val="left"/>
      <w:pPr>
        <w:ind w:left="4464" w:hanging="1224"/>
      </w:pPr>
    </w:lvl>
    <w:lvl w:ilvl="8" w:tplc="98A0A712">
      <w:start w:val="1"/>
      <w:numFmt w:val="decimal"/>
      <w:lvlText w:val="%1.%2.%3.%4.%5.%6.%7.%8.%9."/>
      <w:lvlJc w:val="left"/>
      <w:pPr>
        <w:ind w:left="5040" w:hanging="1440"/>
      </w:pPr>
    </w:lvl>
  </w:abstractNum>
  <w:abstractNum w:abstractNumId="12" w15:restartNumberingAfterBreak="0">
    <w:nsid w:val="5C903C73"/>
    <w:multiLevelType w:val="hybridMultilevel"/>
    <w:tmpl w:val="D988B468"/>
    <w:lvl w:ilvl="0" w:tplc="3820A034">
      <w:start w:val="1"/>
      <w:numFmt w:val="decimal"/>
      <w:lvlText w:val="%1."/>
      <w:lvlJc w:val="left"/>
      <w:pPr>
        <w:ind w:left="1080" w:hanging="360"/>
      </w:pPr>
      <w:rPr>
        <w:rFonts w:hint="default"/>
      </w:rPr>
    </w:lvl>
    <w:lvl w:ilvl="1" w:tplc="5DE82640">
      <w:start w:val="1"/>
      <w:numFmt w:val="decimal"/>
      <w:lvlText w:val="%1.%2."/>
      <w:lvlJc w:val="left"/>
      <w:pPr>
        <w:ind w:left="1512" w:hanging="432"/>
      </w:pPr>
    </w:lvl>
    <w:lvl w:ilvl="2" w:tplc="CF62633E">
      <w:start w:val="1"/>
      <w:numFmt w:val="decimal"/>
      <w:lvlText w:val="%1.%2.%3."/>
      <w:lvlJc w:val="left"/>
      <w:pPr>
        <w:ind w:left="1944" w:hanging="504"/>
      </w:pPr>
    </w:lvl>
    <w:lvl w:ilvl="3" w:tplc="98C8AB76">
      <w:start w:val="1"/>
      <w:numFmt w:val="decimal"/>
      <w:lvlText w:val="%1.%2.%3.%4."/>
      <w:lvlJc w:val="left"/>
      <w:pPr>
        <w:ind w:left="2448" w:hanging="648"/>
      </w:pPr>
    </w:lvl>
    <w:lvl w:ilvl="4" w:tplc="69181534">
      <w:start w:val="1"/>
      <w:numFmt w:val="decimal"/>
      <w:lvlText w:val="%1.%2.%3.%4.%5."/>
      <w:lvlJc w:val="left"/>
      <w:pPr>
        <w:ind w:left="2952" w:hanging="792"/>
      </w:pPr>
    </w:lvl>
    <w:lvl w:ilvl="5" w:tplc="D7F45296">
      <w:start w:val="1"/>
      <w:numFmt w:val="decimal"/>
      <w:lvlText w:val="%1.%2.%3.%4.%5.%6."/>
      <w:lvlJc w:val="left"/>
      <w:pPr>
        <w:ind w:left="3456" w:hanging="936"/>
      </w:pPr>
    </w:lvl>
    <w:lvl w:ilvl="6" w:tplc="A0EC24F4">
      <w:start w:val="1"/>
      <w:numFmt w:val="decimal"/>
      <w:lvlText w:val="%1.%2.%3.%4.%5.%6.%7."/>
      <w:lvlJc w:val="left"/>
      <w:pPr>
        <w:ind w:left="3960" w:hanging="1080"/>
      </w:pPr>
    </w:lvl>
    <w:lvl w:ilvl="7" w:tplc="1AD0027C">
      <w:start w:val="1"/>
      <w:numFmt w:val="decimal"/>
      <w:lvlText w:val="%1.%2.%3.%4.%5.%6.%7.%8."/>
      <w:lvlJc w:val="left"/>
      <w:pPr>
        <w:ind w:left="4464" w:hanging="1224"/>
      </w:pPr>
    </w:lvl>
    <w:lvl w:ilvl="8" w:tplc="CBE0D3B6">
      <w:start w:val="1"/>
      <w:numFmt w:val="decimal"/>
      <w:lvlText w:val="%1.%2.%3.%4.%5.%6.%7.%8.%9."/>
      <w:lvlJc w:val="left"/>
      <w:pPr>
        <w:ind w:left="5040" w:hanging="1440"/>
      </w:pPr>
    </w:lvl>
  </w:abstractNum>
  <w:abstractNum w:abstractNumId="13" w15:restartNumberingAfterBreak="0">
    <w:nsid w:val="60CF2F41"/>
    <w:multiLevelType w:val="hybridMultilevel"/>
    <w:tmpl w:val="321CC598"/>
    <w:lvl w:ilvl="0" w:tplc="DC6494D2">
      <w:start w:val="1"/>
      <w:numFmt w:val="decimal"/>
      <w:lvlText w:val="%1."/>
      <w:lvlJc w:val="left"/>
      <w:pPr>
        <w:ind w:left="720" w:hanging="360"/>
      </w:pPr>
    </w:lvl>
    <w:lvl w:ilvl="1" w:tplc="E1E0141A">
      <w:start w:val="1"/>
      <w:numFmt w:val="decimal"/>
      <w:lvlText w:val="%1."/>
      <w:lvlJc w:val="left"/>
      <w:pPr>
        <w:ind w:left="1440" w:hanging="360"/>
      </w:pPr>
    </w:lvl>
    <w:lvl w:ilvl="2" w:tplc="8070BC34">
      <w:start w:val="1"/>
      <w:numFmt w:val="lowerRoman"/>
      <w:lvlText w:val="%3."/>
      <w:lvlJc w:val="right"/>
      <w:pPr>
        <w:ind w:left="2160" w:hanging="180"/>
      </w:pPr>
    </w:lvl>
    <w:lvl w:ilvl="3" w:tplc="B0067C5A">
      <w:start w:val="1"/>
      <w:numFmt w:val="decimal"/>
      <w:lvlText w:val="%4."/>
      <w:lvlJc w:val="left"/>
      <w:pPr>
        <w:ind w:left="2880" w:hanging="360"/>
      </w:pPr>
    </w:lvl>
    <w:lvl w:ilvl="4" w:tplc="EEC0BF0A">
      <w:start w:val="1"/>
      <w:numFmt w:val="lowerLetter"/>
      <w:lvlText w:val="%5."/>
      <w:lvlJc w:val="left"/>
      <w:pPr>
        <w:ind w:left="3600" w:hanging="360"/>
      </w:pPr>
    </w:lvl>
    <w:lvl w:ilvl="5" w:tplc="9C76FF8A">
      <w:start w:val="1"/>
      <w:numFmt w:val="lowerRoman"/>
      <w:lvlText w:val="%6."/>
      <w:lvlJc w:val="right"/>
      <w:pPr>
        <w:ind w:left="4320" w:hanging="180"/>
      </w:pPr>
    </w:lvl>
    <w:lvl w:ilvl="6" w:tplc="03649104">
      <w:start w:val="1"/>
      <w:numFmt w:val="decimal"/>
      <w:lvlText w:val="%7."/>
      <w:lvlJc w:val="left"/>
      <w:pPr>
        <w:ind w:left="5040" w:hanging="360"/>
      </w:pPr>
    </w:lvl>
    <w:lvl w:ilvl="7" w:tplc="B4F4680A">
      <w:start w:val="1"/>
      <w:numFmt w:val="lowerLetter"/>
      <w:lvlText w:val="%8."/>
      <w:lvlJc w:val="left"/>
      <w:pPr>
        <w:ind w:left="5760" w:hanging="360"/>
      </w:pPr>
    </w:lvl>
    <w:lvl w:ilvl="8" w:tplc="B664B476">
      <w:start w:val="1"/>
      <w:numFmt w:val="lowerRoman"/>
      <w:lvlText w:val="%9."/>
      <w:lvlJc w:val="right"/>
      <w:pPr>
        <w:ind w:left="6480" w:hanging="180"/>
      </w:pPr>
    </w:lvl>
  </w:abstractNum>
  <w:abstractNum w:abstractNumId="14" w15:restartNumberingAfterBreak="0">
    <w:nsid w:val="60F67DAE"/>
    <w:multiLevelType w:val="hybridMultilevel"/>
    <w:tmpl w:val="87F08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EC09AA"/>
    <w:multiLevelType w:val="hybridMultilevel"/>
    <w:tmpl w:val="EB1AE91E"/>
    <w:lvl w:ilvl="0" w:tplc="0409000F">
      <w:start w:val="1"/>
      <w:numFmt w:val="decimal"/>
      <w:lvlText w:val="%1."/>
      <w:lvlJc w:val="left"/>
      <w:pPr>
        <w:ind w:left="1800" w:hanging="360"/>
      </w:pPr>
      <w:rPr>
        <w:rFonts w:hint="default"/>
      </w:rPr>
    </w:lvl>
    <w:lvl w:ilvl="1" w:tplc="4EFA252E">
      <w:start w:val="1"/>
      <w:numFmt w:val="decimal"/>
      <w:lvlText w:val="%2."/>
      <w:lvlJc w:val="left"/>
      <w:pPr>
        <w:ind w:left="2880" w:hanging="72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57B5E01"/>
    <w:multiLevelType w:val="hybridMultilevel"/>
    <w:tmpl w:val="2A1E043C"/>
    <w:lvl w:ilvl="0" w:tplc="E604E422">
      <w:start w:val="1"/>
      <w:numFmt w:val="decimal"/>
      <w:lvlText w:val="%1."/>
      <w:lvlJc w:val="left"/>
      <w:pPr>
        <w:ind w:left="720" w:hanging="360"/>
      </w:pPr>
    </w:lvl>
    <w:lvl w:ilvl="1" w:tplc="A49C702E">
      <w:start w:val="1"/>
      <w:numFmt w:val="decimal"/>
      <w:lvlText w:val="%2."/>
      <w:lvlJc w:val="left"/>
      <w:pPr>
        <w:ind w:left="1440" w:hanging="360"/>
      </w:pPr>
    </w:lvl>
    <w:lvl w:ilvl="2" w:tplc="02086662">
      <w:start w:val="1"/>
      <w:numFmt w:val="lowerRoman"/>
      <w:lvlText w:val="%3."/>
      <w:lvlJc w:val="right"/>
      <w:pPr>
        <w:ind w:left="2160" w:hanging="180"/>
      </w:pPr>
    </w:lvl>
    <w:lvl w:ilvl="3" w:tplc="249839EE">
      <w:start w:val="1"/>
      <w:numFmt w:val="decimal"/>
      <w:lvlText w:val="%4."/>
      <w:lvlJc w:val="left"/>
      <w:pPr>
        <w:ind w:left="2880" w:hanging="360"/>
      </w:pPr>
    </w:lvl>
    <w:lvl w:ilvl="4" w:tplc="E9389182">
      <w:start w:val="1"/>
      <w:numFmt w:val="lowerLetter"/>
      <w:lvlText w:val="%5."/>
      <w:lvlJc w:val="left"/>
      <w:pPr>
        <w:ind w:left="3600" w:hanging="360"/>
      </w:pPr>
    </w:lvl>
    <w:lvl w:ilvl="5" w:tplc="BDF26998">
      <w:start w:val="1"/>
      <w:numFmt w:val="lowerRoman"/>
      <w:lvlText w:val="%6."/>
      <w:lvlJc w:val="right"/>
      <w:pPr>
        <w:ind w:left="4320" w:hanging="180"/>
      </w:pPr>
    </w:lvl>
    <w:lvl w:ilvl="6" w:tplc="4DEE08C0">
      <w:start w:val="1"/>
      <w:numFmt w:val="decimal"/>
      <w:lvlText w:val="%7."/>
      <w:lvlJc w:val="left"/>
      <w:pPr>
        <w:ind w:left="5040" w:hanging="360"/>
      </w:pPr>
    </w:lvl>
    <w:lvl w:ilvl="7" w:tplc="20E095C2">
      <w:start w:val="1"/>
      <w:numFmt w:val="lowerLetter"/>
      <w:lvlText w:val="%8."/>
      <w:lvlJc w:val="left"/>
      <w:pPr>
        <w:ind w:left="5760" w:hanging="360"/>
      </w:pPr>
    </w:lvl>
    <w:lvl w:ilvl="8" w:tplc="CF02352A">
      <w:start w:val="1"/>
      <w:numFmt w:val="lowerRoman"/>
      <w:lvlText w:val="%9."/>
      <w:lvlJc w:val="right"/>
      <w:pPr>
        <w:ind w:left="6480" w:hanging="180"/>
      </w:pPr>
    </w:lvl>
  </w:abstractNum>
  <w:abstractNum w:abstractNumId="17" w15:restartNumberingAfterBreak="0">
    <w:nsid w:val="6F7F30F2"/>
    <w:multiLevelType w:val="hybridMultilevel"/>
    <w:tmpl w:val="E164582E"/>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F9F7F99"/>
    <w:multiLevelType w:val="hybridMultilevel"/>
    <w:tmpl w:val="BBC04D68"/>
    <w:lvl w:ilvl="0" w:tplc="73B44270">
      <w:start w:val="1"/>
      <w:numFmt w:val="lowerLetter"/>
      <w:lvlText w:val="%1."/>
      <w:lvlJc w:val="left"/>
      <w:pPr>
        <w:ind w:left="2160" w:hanging="360"/>
      </w:pPr>
      <w:rPr>
        <w:rFonts w:hint="default"/>
        <w:color w:val="auto"/>
      </w:rPr>
    </w:lvl>
    <w:lvl w:ilvl="1" w:tplc="4EFA252E">
      <w:start w:val="1"/>
      <w:numFmt w:val="decimal"/>
      <w:lvlText w:val="%2."/>
      <w:lvlJc w:val="left"/>
      <w:pPr>
        <w:ind w:left="3240" w:hanging="72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705249BC"/>
    <w:multiLevelType w:val="hybridMultilevel"/>
    <w:tmpl w:val="580C50B0"/>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FD142D"/>
    <w:multiLevelType w:val="hybridMultilevel"/>
    <w:tmpl w:val="BF1E759A"/>
    <w:lvl w:ilvl="0" w:tplc="0409000F">
      <w:start w:val="1"/>
      <w:numFmt w:val="decimal"/>
      <w:lvlText w:val="%1."/>
      <w:lvlJc w:val="left"/>
      <w:pPr>
        <w:ind w:left="1440" w:hanging="360"/>
      </w:pPr>
      <w:rPr>
        <w:rFonts w:hint="default"/>
      </w:rPr>
    </w:lvl>
    <w:lvl w:ilvl="1" w:tplc="04090017">
      <w:start w:val="1"/>
      <w:numFmt w:val="lowerLetter"/>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E611F06"/>
    <w:multiLevelType w:val="hybridMultilevel"/>
    <w:tmpl w:val="94064222"/>
    <w:lvl w:ilvl="0" w:tplc="CBF06D78">
      <w:start w:val="1"/>
      <w:numFmt w:val="decimal"/>
      <w:lvlText w:val="%1."/>
      <w:lvlJc w:val="left"/>
      <w:pPr>
        <w:ind w:left="360" w:hanging="360"/>
      </w:pPr>
      <w:rPr>
        <w:rFonts w:hint="default"/>
      </w:rPr>
    </w:lvl>
    <w:lvl w:ilvl="1" w:tplc="34982636">
      <w:start w:val="1"/>
      <w:numFmt w:val="decimal"/>
      <w:lvlText w:val="%1.%2."/>
      <w:lvlJc w:val="left"/>
      <w:pPr>
        <w:ind w:left="792" w:hanging="432"/>
      </w:pPr>
    </w:lvl>
    <w:lvl w:ilvl="2" w:tplc="5ABEB6EA">
      <w:start w:val="1"/>
      <w:numFmt w:val="decimal"/>
      <w:lvlText w:val="%1.%2.%3."/>
      <w:lvlJc w:val="left"/>
      <w:pPr>
        <w:ind w:left="1224" w:hanging="504"/>
      </w:pPr>
    </w:lvl>
    <w:lvl w:ilvl="3" w:tplc="D4A0A36E">
      <w:start w:val="1"/>
      <w:numFmt w:val="decimal"/>
      <w:lvlText w:val="%1.%2.%3.%4."/>
      <w:lvlJc w:val="left"/>
      <w:pPr>
        <w:ind w:left="1728" w:hanging="648"/>
      </w:pPr>
    </w:lvl>
    <w:lvl w:ilvl="4" w:tplc="52DC2B14">
      <w:start w:val="1"/>
      <w:numFmt w:val="decimal"/>
      <w:lvlText w:val="%1.%2.%3.%4.%5."/>
      <w:lvlJc w:val="left"/>
      <w:pPr>
        <w:ind w:left="2232" w:hanging="792"/>
      </w:pPr>
    </w:lvl>
    <w:lvl w:ilvl="5" w:tplc="1A3CD8A8">
      <w:start w:val="1"/>
      <w:numFmt w:val="decimal"/>
      <w:lvlText w:val="%1.%2.%3.%4.%5.%6."/>
      <w:lvlJc w:val="left"/>
      <w:pPr>
        <w:ind w:left="2736" w:hanging="936"/>
      </w:pPr>
    </w:lvl>
    <w:lvl w:ilvl="6" w:tplc="4FBA116E">
      <w:start w:val="1"/>
      <w:numFmt w:val="decimal"/>
      <w:lvlText w:val="%1.%2.%3.%4.%5.%6.%7."/>
      <w:lvlJc w:val="left"/>
      <w:pPr>
        <w:ind w:left="3240" w:hanging="1080"/>
      </w:pPr>
    </w:lvl>
    <w:lvl w:ilvl="7" w:tplc="0CDCCE28">
      <w:start w:val="1"/>
      <w:numFmt w:val="decimal"/>
      <w:lvlText w:val="%1.%2.%3.%4.%5.%6.%7.%8."/>
      <w:lvlJc w:val="left"/>
      <w:pPr>
        <w:ind w:left="3744" w:hanging="1224"/>
      </w:pPr>
    </w:lvl>
    <w:lvl w:ilvl="8" w:tplc="779C1EF6">
      <w:start w:val="1"/>
      <w:numFmt w:val="decimal"/>
      <w:lvlText w:val="%1.%2.%3.%4.%5.%6.%7.%8.%9."/>
      <w:lvlJc w:val="left"/>
      <w:pPr>
        <w:ind w:left="4320" w:hanging="1440"/>
      </w:pPr>
    </w:lvl>
  </w:abstractNum>
  <w:num w:numId="1">
    <w:abstractNumId w:val="13"/>
  </w:num>
  <w:num w:numId="2">
    <w:abstractNumId w:val="16"/>
  </w:num>
  <w:num w:numId="3">
    <w:abstractNumId w:val="12"/>
  </w:num>
  <w:num w:numId="4">
    <w:abstractNumId w:val="4"/>
  </w:num>
  <w:num w:numId="5">
    <w:abstractNumId w:val="10"/>
  </w:num>
  <w:num w:numId="6">
    <w:abstractNumId w:val="18"/>
  </w:num>
  <w:num w:numId="7">
    <w:abstractNumId w:val="20"/>
  </w:num>
  <w:num w:numId="8">
    <w:abstractNumId w:val="7"/>
  </w:num>
  <w:num w:numId="9">
    <w:abstractNumId w:val="6"/>
  </w:num>
  <w:num w:numId="10">
    <w:abstractNumId w:val="9"/>
  </w:num>
  <w:num w:numId="11">
    <w:abstractNumId w:val="15"/>
  </w:num>
  <w:num w:numId="12">
    <w:abstractNumId w:val="3"/>
  </w:num>
  <w:num w:numId="13">
    <w:abstractNumId w:val="14"/>
  </w:num>
  <w:num w:numId="14">
    <w:abstractNumId w:val="8"/>
  </w:num>
  <w:num w:numId="15">
    <w:abstractNumId w:val="1"/>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5"/>
  </w:num>
  <w:num w:numId="19">
    <w:abstractNumId w:val="11"/>
  </w:num>
  <w:num w:numId="20">
    <w:abstractNumId w:val="21"/>
  </w:num>
  <w:num w:numId="21">
    <w:abstractNumId w:val="2"/>
  </w:num>
  <w:num w:numId="22">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EDA"/>
    <w:rsid w:val="00002780"/>
    <w:rsid w:val="00004ECA"/>
    <w:rsid w:val="00013630"/>
    <w:rsid w:val="00015E21"/>
    <w:rsid w:val="0002125A"/>
    <w:rsid w:val="00024F8B"/>
    <w:rsid w:val="000270A2"/>
    <w:rsid w:val="000419F7"/>
    <w:rsid w:val="00042BED"/>
    <w:rsid w:val="00044983"/>
    <w:rsid w:val="000627BD"/>
    <w:rsid w:val="0006284A"/>
    <w:rsid w:val="000739BB"/>
    <w:rsid w:val="0007470E"/>
    <w:rsid w:val="0007477B"/>
    <w:rsid w:val="0008267A"/>
    <w:rsid w:val="00084AA6"/>
    <w:rsid w:val="00092ABB"/>
    <w:rsid w:val="000A4823"/>
    <w:rsid w:val="000A6DB1"/>
    <w:rsid w:val="000A7D5D"/>
    <w:rsid w:val="000B0EA9"/>
    <w:rsid w:val="000C2848"/>
    <w:rsid w:val="000C45AA"/>
    <w:rsid w:val="000E0587"/>
    <w:rsid w:val="000E5818"/>
    <w:rsid w:val="00101965"/>
    <w:rsid w:val="00101B83"/>
    <w:rsid w:val="00107E67"/>
    <w:rsid w:val="001144FE"/>
    <w:rsid w:val="00120296"/>
    <w:rsid w:val="00130332"/>
    <w:rsid w:val="00133309"/>
    <w:rsid w:val="001335D3"/>
    <w:rsid w:val="001409E0"/>
    <w:rsid w:val="00141A44"/>
    <w:rsid w:val="0014297A"/>
    <w:rsid w:val="00146F8E"/>
    <w:rsid w:val="001516B6"/>
    <w:rsid w:val="00157FD6"/>
    <w:rsid w:val="00160EFB"/>
    <w:rsid w:val="00163800"/>
    <w:rsid w:val="0016588A"/>
    <w:rsid w:val="00166432"/>
    <w:rsid w:val="001664E4"/>
    <w:rsid w:val="00176820"/>
    <w:rsid w:val="00184804"/>
    <w:rsid w:val="00186190"/>
    <w:rsid w:val="00197083"/>
    <w:rsid w:val="001A1EDD"/>
    <w:rsid w:val="001A3BE7"/>
    <w:rsid w:val="001A3DD8"/>
    <w:rsid w:val="001B3751"/>
    <w:rsid w:val="001C2828"/>
    <w:rsid w:val="001D24B7"/>
    <w:rsid w:val="001D416E"/>
    <w:rsid w:val="001D48C3"/>
    <w:rsid w:val="001E1329"/>
    <w:rsid w:val="001E3FDD"/>
    <w:rsid w:val="001E654B"/>
    <w:rsid w:val="001F626B"/>
    <w:rsid w:val="00204111"/>
    <w:rsid w:val="00205292"/>
    <w:rsid w:val="00212997"/>
    <w:rsid w:val="00223527"/>
    <w:rsid w:val="002263D5"/>
    <w:rsid w:val="002263FF"/>
    <w:rsid w:val="0023348D"/>
    <w:rsid w:val="002336AF"/>
    <w:rsid w:val="00235421"/>
    <w:rsid w:val="00240D55"/>
    <w:rsid w:val="00244A40"/>
    <w:rsid w:val="002452DA"/>
    <w:rsid w:val="00261F59"/>
    <w:rsid w:val="00263D29"/>
    <w:rsid w:val="0026484B"/>
    <w:rsid w:val="002663A7"/>
    <w:rsid w:val="00267FEB"/>
    <w:rsid w:val="002734B1"/>
    <w:rsid w:val="00273BF0"/>
    <w:rsid w:val="00274326"/>
    <w:rsid w:val="00275FFB"/>
    <w:rsid w:val="00282CA4"/>
    <w:rsid w:val="002A272D"/>
    <w:rsid w:val="002B167E"/>
    <w:rsid w:val="002B5557"/>
    <w:rsid w:val="002B60C5"/>
    <w:rsid w:val="002B6BC9"/>
    <w:rsid w:val="002B76AF"/>
    <w:rsid w:val="002C248C"/>
    <w:rsid w:val="002C4783"/>
    <w:rsid w:val="002C6DFE"/>
    <w:rsid w:val="002D2442"/>
    <w:rsid w:val="002D483A"/>
    <w:rsid w:val="002E4DB2"/>
    <w:rsid w:val="002F3C16"/>
    <w:rsid w:val="002F3C39"/>
    <w:rsid w:val="002F5A23"/>
    <w:rsid w:val="002F7475"/>
    <w:rsid w:val="00306342"/>
    <w:rsid w:val="00316F58"/>
    <w:rsid w:val="00320E25"/>
    <w:rsid w:val="00327F35"/>
    <w:rsid w:val="00332DFF"/>
    <w:rsid w:val="0033540E"/>
    <w:rsid w:val="003437AC"/>
    <w:rsid w:val="003438B4"/>
    <w:rsid w:val="00346ED0"/>
    <w:rsid w:val="00347F22"/>
    <w:rsid w:val="00383AE8"/>
    <w:rsid w:val="00385DB1"/>
    <w:rsid w:val="003924EE"/>
    <w:rsid w:val="00396F92"/>
    <w:rsid w:val="003A6CB6"/>
    <w:rsid w:val="003B1154"/>
    <w:rsid w:val="003C2762"/>
    <w:rsid w:val="003D00E8"/>
    <w:rsid w:val="003D41CC"/>
    <w:rsid w:val="003D7961"/>
    <w:rsid w:val="003E0383"/>
    <w:rsid w:val="003E0891"/>
    <w:rsid w:val="003E17C4"/>
    <w:rsid w:val="003F7799"/>
    <w:rsid w:val="0040208F"/>
    <w:rsid w:val="004074CB"/>
    <w:rsid w:val="004105A4"/>
    <w:rsid w:val="00414AE0"/>
    <w:rsid w:val="004164E9"/>
    <w:rsid w:val="0042294F"/>
    <w:rsid w:val="004262E7"/>
    <w:rsid w:val="0043500B"/>
    <w:rsid w:val="004378EF"/>
    <w:rsid w:val="00440C83"/>
    <w:rsid w:val="0044216E"/>
    <w:rsid w:val="00442DB8"/>
    <w:rsid w:val="004439B8"/>
    <w:rsid w:val="004456F1"/>
    <w:rsid w:val="0044726C"/>
    <w:rsid w:val="004526CC"/>
    <w:rsid w:val="004559F4"/>
    <w:rsid w:val="004629AF"/>
    <w:rsid w:val="00472274"/>
    <w:rsid w:val="00473E4D"/>
    <w:rsid w:val="00480482"/>
    <w:rsid w:val="00480D78"/>
    <w:rsid w:val="00480E0D"/>
    <w:rsid w:val="00484759"/>
    <w:rsid w:val="00491F6D"/>
    <w:rsid w:val="0049441F"/>
    <w:rsid w:val="004A02D0"/>
    <w:rsid w:val="004A2BEF"/>
    <w:rsid w:val="004A671F"/>
    <w:rsid w:val="004B6EC1"/>
    <w:rsid w:val="004C64DA"/>
    <w:rsid w:val="004C79B0"/>
    <w:rsid w:val="004D00E4"/>
    <w:rsid w:val="004D0F36"/>
    <w:rsid w:val="004D5DA4"/>
    <w:rsid w:val="004D7271"/>
    <w:rsid w:val="004E2A50"/>
    <w:rsid w:val="004E383C"/>
    <w:rsid w:val="004E419D"/>
    <w:rsid w:val="004F0BF8"/>
    <w:rsid w:val="00511A19"/>
    <w:rsid w:val="00512DD0"/>
    <w:rsid w:val="00514244"/>
    <w:rsid w:val="00517984"/>
    <w:rsid w:val="00525CBD"/>
    <w:rsid w:val="00533365"/>
    <w:rsid w:val="005440E9"/>
    <w:rsid w:val="0055218E"/>
    <w:rsid w:val="00553B5E"/>
    <w:rsid w:val="00560E43"/>
    <w:rsid w:val="00563990"/>
    <w:rsid w:val="00565CAD"/>
    <w:rsid w:val="0056728C"/>
    <w:rsid w:val="0058071F"/>
    <w:rsid w:val="00581CD8"/>
    <w:rsid w:val="00587AA5"/>
    <w:rsid w:val="00587E88"/>
    <w:rsid w:val="005A4A93"/>
    <w:rsid w:val="005C2611"/>
    <w:rsid w:val="005D1A36"/>
    <w:rsid w:val="005D5854"/>
    <w:rsid w:val="005E65C2"/>
    <w:rsid w:val="005F130D"/>
    <w:rsid w:val="005F5138"/>
    <w:rsid w:val="00602496"/>
    <w:rsid w:val="00605EF5"/>
    <w:rsid w:val="00612337"/>
    <w:rsid w:val="0061349A"/>
    <w:rsid w:val="00616E75"/>
    <w:rsid w:val="00627D75"/>
    <w:rsid w:val="00645651"/>
    <w:rsid w:val="0065135F"/>
    <w:rsid w:val="00653B80"/>
    <w:rsid w:val="00654F01"/>
    <w:rsid w:val="00660FF6"/>
    <w:rsid w:val="00670F99"/>
    <w:rsid w:val="006720E2"/>
    <w:rsid w:val="00673259"/>
    <w:rsid w:val="00674A63"/>
    <w:rsid w:val="00681527"/>
    <w:rsid w:val="00681E6E"/>
    <w:rsid w:val="0069272B"/>
    <w:rsid w:val="0069356C"/>
    <w:rsid w:val="006936CE"/>
    <w:rsid w:val="00694018"/>
    <w:rsid w:val="006A657D"/>
    <w:rsid w:val="006B0464"/>
    <w:rsid w:val="006B1EDA"/>
    <w:rsid w:val="006B3934"/>
    <w:rsid w:val="006C1FB2"/>
    <w:rsid w:val="006C5435"/>
    <w:rsid w:val="006D0A94"/>
    <w:rsid w:val="006D55CA"/>
    <w:rsid w:val="006E0595"/>
    <w:rsid w:val="006E3D40"/>
    <w:rsid w:val="006E6AD1"/>
    <w:rsid w:val="006F4A58"/>
    <w:rsid w:val="006F5A72"/>
    <w:rsid w:val="0070320B"/>
    <w:rsid w:val="007051DD"/>
    <w:rsid w:val="0070550A"/>
    <w:rsid w:val="007122FD"/>
    <w:rsid w:val="007212B9"/>
    <w:rsid w:val="00723FD9"/>
    <w:rsid w:val="00731AA3"/>
    <w:rsid w:val="00737AC0"/>
    <w:rsid w:val="00737DD3"/>
    <w:rsid w:val="007617CE"/>
    <w:rsid w:val="007627CA"/>
    <w:rsid w:val="00765549"/>
    <w:rsid w:val="0076561C"/>
    <w:rsid w:val="00766BF3"/>
    <w:rsid w:val="0076734D"/>
    <w:rsid w:val="007829DE"/>
    <w:rsid w:val="00786783"/>
    <w:rsid w:val="00790046"/>
    <w:rsid w:val="00792BA6"/>
    <w:rsid w:val="00794CBB"/>
    <w:rsid w:val="00794F2F"/>
    <w:rsid w:val="00795B00"/>
    <w:rsid w:val="00796C65"/>
    <w:rsid w:val="00796CCB"/>
    <w:rsid w:val="00797967"/>
    <w:rsid w:val="007A36CA"/>
    <w:rsid w:val="007B0DB7"/>
    <w:rsid w:val="007C6A04"/>
    <w:rsid w:val="007D0083"/>
    <w:rsid w:val="007D0A6B"/>
    <w:rsid w:val="007D54E2"/>
    <w:rsid w:val="007D7854"/>
    <w:rsid w:val="007E44FE"/>
    <w:rsid w:val="007F050B"/>
    <w:rsid w:val="007F65C6"/>
    <w:rsid w:val="00800300"/>
    <w:rsid w:val="00815979"/>
    <w:rsid w:val="008164A2"/>
    <w:rsid w:val="00830DDF"/>
    <w:rsid w:val="00834F8D"/>
    <w:rsid w:val="0083552E"/>
    <w:rsid w:val="00835A06"/>
    <w:rsid w:val="00844627"/>
    <w:rsid w:val="00857C55"/>
    <w:rsid w:val="00872CB8"/>
    <w:rsid w:val="00876304"/>
    <w:rsid w:val="00880EB4"/>
    <w:rsid w:val="0088347A"/>
    <w:rsid w:val="00894470"/>
    <w:rsid w:val="008A1199"/>
    <w:rsid w:val="008A3DA8"/>
    <w:rsid w:val="008B49B4"/>
    <w:rsid w:val="008C5F8C"/>
    <w:rsid w:val="008E3A20"/>
    <w:rsid w:val="008E425A"/>
    <w:rsid w:val="008F073F"/>
    <w:rsid w:val="008F12B0"/>
    <w:rsid w:val="008F471C"/>
    <w:rsid w:val="008F772A"/>
    <w:rsid w:val="00901749"/>
    <w:rsid w:val="00903866"/>
    <w:rsid w:val="00903A68"/>
    <w:rsid w:val="00906906"/>
    <w:rsid w:val="00907A12"/>
    <w:rsid w:val="009277F8"/>
    <w:rsid w:val="009306A1"/>
    <w:rsid w:val="0093085F"/>
    <w:rsid w:val="00933EF5"/>
    <w:rsid w:val="00934BC9"/>
    <w:rsid w:val="00937A5A"/>
    <w:rsid w:val="00942A94"/>
    <w:rsid w:val="00944989"/>
    <w:rsid w:val="00944DCE"/>
    <w:rsid w:val="00956BFB"/>
    <w:rsid w:val="009617CA"/>
    <w:rsid w:val="0096280D"/>
    <w:rsid w:val="00973C97"/>
    <w:rsid w:val="0097781C"/>
    <w:rsid w:val="00982C1D"/>
    <w:rsid w:val="00984E7C"/>
    <w:rsid w:val="00994090"/>
    <w:rsid w:val="009A0683"/>
    <w:rsid w:val="009A2B1F"/>
    <w:rsid w:val="009A51DB"/>
    <w:rsid w:val="009B467E"/>
    <w:rsid w:val="009C0837"/>
    <w:rsid w:val="009C3CDB"/>
    <w:rsid w:val="009C7C45"/>
    <w:rsid w:val="009D15DD"/>
    <w:rsid w:val="009D26A9"/>
    <w:rsid w:val="009D2EAF"/>
    <w:rsid w:val="009D38ED"/>
    <w:rsid w:val="009D44D9"/>
    <w:rsid w:val="009D6F13"/>
    <w:rsid w:val="009D7462"/>
    <w:rsid w:val="009E161D"/>
    <w:rsid w:val="009E5701"/>
    <w:rsid w:val="009F144C"/>
    <w:rsid w:val="009F1C4A"/>
    <w:rsid w:val="009F31E0"/>
    <w:rsid w:val="009F4C5C"/>
    <w:rsid w:val="009F5E9D"/>
    <w:rsid w:val="00A01511"/>
    <w:rsid w:val="00A016B2"/>
    <w:rsid w:val="00A02741"/>
    <w:rsid w:val="00A02845"/>
    <w:rsid w:val="00A055C4"/>
    <w:rsid w:val="00A143BF"/>
    <w:rsid w:val="00A248FE"/>
    <w:rsid w:val="00A32129"/>
    <w:rsid w:val="00A3268F"/>
    <w:rsid w:val="00A34431"/>
    <w:rsid w:val="00A35DF5"/>
    <w:rsid w:val="00A37EE6"/>
    <w:rsid w:val="00A43593"/>
    <w:rsid w:val="00A449C2"/>
    <w:rsid w:val="00A44AA6"/>
    <w:rsid w:val="00A536BA"/>
    <w:rsid w:val="00A5789C"/>
    <w:rsid w:val="00A604EB"/>
    <w:rsid w:val="00A60810"/>
    <w:rsid w:val="00A60AB6"/>
    <w:rsid w:val="00A61EBF"/>
    <w:rsid w:val="00A6584D"/>
    <w:rsid w:val="00A658EA"/>
    <w:rsid w:val="00A65B95"/>
    <w:rsid w:val="00A8338E"/>
    <w:rsid w:val="00A84958"/>
    <w:rsid w:val="00A85A06"/>
    <w:rsid w:val="00A867F0"/>
    <w:rsid w:val="00AA20B3"/>
    <w:rsid w:val="00AA4045"/>
    <w:rsid w:val="00AA58F0"/>
    <w:rsid w:val="00AA5F38"/>
    <w:rsid w:val="00AB4132"/>
    <w:rsid w:val="00AC1E89"/>
    <w:rsid w:val="00AC5931"/>
    <w:rsid w:val="00AD0419"/>
    <w:rsid w:val="00AD09EE"/>
    <w:rsid w:val="00AD101A"/>
    <w:rsid w:val="00AD781C"/>
    <w:rsid w:val="00AE2768"/>
    <w:rsid w:val="00AE2B15"/>
    <w:rsid w:val="00AE71F9"/>
    <w:rsid w:val="00AF359F"/>
    <w:rsid w:val="00B01756"/>
    <w:rsid w:val="00B01F39"/>
    <w:rsid w:val="00B115A4"/>
    <w:rsid w:val="00B16692"/>
    <w:rsid w:val="00B17593"/>
    <w:rsid w:val="00B2150B"/>
    <w:rsid w:val="00B24CCB"/>
    <w:rsid w:val="00B33A89"/>
    <w:rsid w:val="00B46B32"/>
    <w:rsid w:val="00B548B5"/>
    <w:rsid w:val="00B6103E"/>
    <w:rsid w:val="00B66E1D"/>
    <w:rsid w:val="00B7177F"/>
    <w:rsid w:val="00B75E39"/>
    <w:rsid w:val="00B83900"/>
    <w:rsid w:val="00B83A21"/>
    <w:rsid w:val="00B938A8"/>
    <w:rsid w:val="00BC0912"/>
    <w:rsid w:val="00BC1CF9"/>
    <w:rsid w:val="00BC4A0E"/>
    <w:rsid w:val="00BD043D"/>
    <w:rsid w:val="00BE2211"/>
    <w:rsid w:val="00BF13C6"/>
    <w:rsid w:val="00C1147E"/>
    <w:rsid w:val="00C120FF"/>
    <w:rsid w:val="00C277CF"/>
    <w:rsid w:val="00C27A79"/>
    <w:rsid w:val="00C41AD2"/>
    <w:rsid w:val="00C564E0"/>
    <w:rsid w:val="00C56961"/>
    <w:rsid w:val="00C70FBF"/>
    <w:rsid w:val="00C7305A"/>
    <w:rsid w:val="00C73492"/>
    <w:rsid w:val="00C91F4C"/>
    <w:rsid w:val="00C92D49"/>
    <w:rsid w:val="00C97E5A"/>
    <w:rsid w:val="00CA2987"/>
    <w:rsid w:val="00CA4111"/>
    <w:rsid w:val="00CB0948"/>
    <w:rsid w:val="00CB3F32"/>
    <w:rsid w:val="00CD3385"/>
    <w:rsid w:val="00CD6E95"/>
    <w:rsid w:val="00CF1421"/>
    <w:rsid w:val="00CF43CA"/>
    <w:rsid w:val="00CF6A8F"/>
    <w:rsid w:val="00D050DE"/>
    <w:rsid w:val="00D144A9"/>
    <w:rsid w:val="00D178A6"/>
    <w:rsid w:val="00D25975"/>
    <w:rsid w:val="00D27AAB"/>
    <w:rsid w:val="00D27EB7"/>
    <w:rsid w:val="00D35C36"/>
    <w:rsid w:val="00D4180E"/>
    <w:rsid w:val="00D41BD2"/>
    <w:rsid w:val="00D41CCC"/>
    <w:rsid w:val="00D476E3"/>
    <w:rsid w:val="00D573C6"/>
    <w:rsid w:val="00D66380"/>
    <w:rsid w:val="00D72891"/>
    <w:rsid w:val="00D81A25"/>
    <w:rsid w:val="00D8670C"/>
    <w:rsid w:val="00D87792"/>
    <w:rsid w:val="00D946BF"/>
    <w:rsid w:val="00DA1436"/>
    <w:rsid w:val="00DA5ED9"/>
    <w:rsid w:val="00DA7BC8"/>
    <w:rsid w:val="00DB251A"/>
    <w:rsid w:val="00DC2644"/>
    <w:rsid w:val="00DC2C93"/>
    <w:rsid w:val="00DC3151"/>
    <w:rsid w:val="00DD0B41"/>
    <w:rsid w:val="00DD5621"/>
    <w:rsid w:val="00DD6D5B"/>
    <w:rsid w:val="00DE57FD"/>
    <w:rsid w:val="00DF387E"/>
    <w:rsid w:val="00DF4F2A"/>
    <w:rsid w:val="00DF5B0D"/>
    <w:rsid w:val="00DF7563"/>
    <w:rsid w:val="00E2411A"/>
    <w:rsid w:val="00E26B81"/>
    <w:rsid w:val="00E27F77"/>
    <w:rsid w:val="00E32BF0"/>
    <w:rsid w:val="00E35CF3"/>
    <w:rsid w:val="00E42E17"/>
    <w:rsid w:val="00E5218C"/>
    <w:rsid w:val="00E63EA3"/>
    <w:rsid w:val="00E70111"/>
    <w:rsid w:val="00E73C3E"/>
    <w:rsid w:val="00E80AE1"/>
    <w:rsid w:val="00E9162E"/>
    <w:rsid w:val="00E94A64"/>
    <w:rsid w:val="00E97160"/>
    <w:rsid w:val="00EA2DF8"/>
    <w:rsid w:val="00EA35B9"/>
    <w:rsid w:val="00EA3C8E"/>
    <w:rsid w:val="00EA4C2F"/>
    <w:rsid w:val="00EB2003"/>
    <w:rsid w:val="00EB701B"/>
    <w:rsid w:val="00EC0CD7"/>
    <w:rsid w:val="00ED42BB"/>
    <w:rsid w:val="00EE09A1"/>
    <w:rsid w:val="00EE3117"/>
    <w:rsid w:val="00EE3B73"/>
    <w:rsid w:val="00EE5F24"/>
    <w:rsid w:val="00EF2A80"/>
    <w:rsid w:val="00EF391A"/>
    <w:rsid w:val="00EF3E23"/>
    <w:rsid w:val="00F06651"/>
    <w:rsid w:val="00F07556"/>
    <w:rsid w:val="00F10ACF"/>
    <w:rsid w:val="00F12391"/>
    <w:rsid w:val="00F12EC1"/>
    <w:rsid w:val="00F21088"/>
    <w:rsid w:val="00F34674"/>
    <w:rsid w:val="00F40419"/>
    <w:rsid w:val="00F44C1F"/>
    <w:rsid w:val="00F5019A"/>
    <w:rsid w:val="00F52421"/>
    <w:rsid w:val="00F54689"/>
    <w:rsid w:val="00F54734"/>
    <w:rsid w:val="00F56019"/>
    <w:rsid w:val="00F60DF9"/>
    <w:rsid w:val="00F639FC"/>
    <w:rsid w:val="00F67541"/>
    <w:rsid w:val="00F67CD5"/>
    <w:rsid w:val="00F706D8"/>
    <w:rsid w:val="00F7164F"/>
    <w:rsid w:val="00F73CFD"/>
    <w:rsid w:val="00F85007"/>
    <w:rsid w:val="00F86382"/>
    <w:rsid w:val="00F90CC3"/>
    <w:rsid w:val="00F934E3"/>
    <w:rsid w:val="00F95770"/>
    <w:rsid w:val="00FA72B0"/>
    <w:rsid w:val="00FC215B"/>
    <w:rsid w:val="00FF12AC"/>
    <w:rsid w:val="00FF2948"/>
    <w:rsid w:val="00FF49E3"/>
    <w:rsid w:val="0250BCD1"/>
    <w:rsid w:val="0519C73E"/>
    <w:rsid w:val="08704B5E"/>
    <w:rsid w:val="0B628DD0"/>
    <w:rsid w:val="0B7BBA4A"/>
    <w:rsid w:val="0C947988"/>
    <w:rsid w:val="0CE8F317"/>
    <w:rsid w:val="0D6039C5"/>
    <w:rsid w:val="0E5DB3C8"/>
    <w:rsid w:val="10C9EA7F"/>
    <w:rsid w:val="11726CB4"/>
    <w:rsid w:val="11FDCEF8"/>
    <w:rsid w:val="13406B45"/>
    <w:rsid w:val="14501A9B"/>
    <w:rsid w:val="14A89C90"/>
    <w:rsid w:val="18AFC8EB"/>
    <w:rsid w:val="25C8B5F6"/>
    <w:rsid w:val="263609EA"/>
    <w:rsid w:val="27AFFE73"/>
    <w:rsid w:val="2854CA6B"/>
    <w:rsid w:val="28C6B57D"/>
    <w:rsid w:val="2A1487C7"/>
    <w:rsid w:val="2A88A6EB"/>
    <w:rsid w:val="2BD664E2"/>
    <w:rsid w:val="2C4A982F"/>
    <w:rsid w:val="2F67CED2"/>
    <w:rsid w:val="30B24FCC"/>
    <w:rsid w:val="31ED8634"/>
    <w:rsid w:val="39746759"/>
    <w:rsid w:val="3A069F0F"/>
    <w:rsid w:val="3CB22604"/>
    <w:rsid w:val="3E6D4988"/>
    <w:rsid w:val="3F6A280F"/>
    <w:rsid w:val="4021A58F"/>
    <w:rsid w:val="41996415"/>
    <w:rsid w:val="426EAEE5"/>
    <w:rsid w:val="42E0D32A"/>
    <w:rsid w:val="4383A7C3"/>
    <w:rsid w:val="43DA2F1F"/>
    <w:rsid w:val="4573FD2E"/>
    <w:rsid w:val="45D20D66"/>
    <w:rsid w:val="47BA48CD"/>
    <w:rsid w:val="4856F30B"/>
    <w:rsid w:val="4A3B6534"/>
    <w:rsid w:val="4A57446F"/>
    <w:rsid w:val="4D96D6BE"/>
    <w:rsid w:val="509672C8"/>
    <w:rsid w:val="509850BE"/>
    <w:rsid w:val="52C9AD38"/>
    <w:rsid w:val="52DE5E58"/>
    <w:rsid w:val="5B6ED08C"/>
    <w:rsid w:val="5D4F78AE"/>
    <w:rsid w:val="5DB56AEA"/>
    <w:rsid w:val="5E63B614"/>
    <w:rsid w:val="5F8F02A4"/>
    <w:rsid w:val="614D7371"/>
    <w:rsid w:val="6538F3BF"/>
    <w:rsid w:val="65931253"/>
    <w:rsid w:val="6A0ECC48"/>
    <w:rsid w:val="6B02352C"/>
    <w:rsid w:val="6C014365"/>
    <w:rsid w:val="6CE3AB82"/>
    <w:rsid w:val="6E014B8A"/>
    <w:rsid w:val="71CF21A5"/>
    <w:rsid w:val="729AEB9B"/>
    <w:rsid w:val="7758DF3A"/>
    <w:rsid w:val="7B50D64E"/>
    <w:rsid w:val="7CB1B38D"/>
    <w:rsid w:val="7E294DA6"/>
    <w:rsid w:val="7E78F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DEEA4D"/>
  <w15:chartTrackingRefBased/>
  <w15:docId w15:val="{14AB5250-84E4-4043-965F-7B983CB0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A6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A64"/>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E94A64"/>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1E654B"/>
    <w:rPr>
      <w:rFonts w:ascii="Segoe UI" w:hAnsi="Segoe UI" w:cs="Segoe UI"/>
      <w:sz w:val="18"/>
      <w:szCs w:val="18"/>
    </w:rPr>
  </w:style>
  <w:style w:type="character" w:styleId="CommentReference">
    <w:name w:val="annotation reference"/>
    <w:basedOn w:val="DefaultParagraphFont"/>
    <w:uiPriority w:val="99"/>
    <w:semiHidden/>
    <w:unhideWhenUsed/>
    <w:rsid w:val="00F86382"/>
    <w:rPr>
      <w:sz w:val="16"/>
      <w:szCs w:val="16"/>
    </w:rPr>
  </w:style>
  <w:style w:type="paragraph" w:styleId="CommentText">
    <w:name w:val="annotation text"/>
    <w:basedOn w:val="Normal"/>
    <w:link w:val="CommentTextChar"/>
    <w:uiPriority w:val="99"/>
    <w:unhideWhenUsed/>
    <w:rsid w:val="00F86382"/>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F86382"/>
    <w:rPr>
      <w:sz w:val="20"/>
      <w:szCs w:val="20"/>
    </w:rPr>
  </w:style>
  <w:style w:type="paragraph" w:styleId="CommentSubject">
    <w:name w:val="annotation subject"/>
    <w:basedOn w:val="CommentText"/>
    <w:next w:val="CommentText"/>
    <w:link w:val="CommentSubjectChar"/>
    <w:uiPriority w:val="99"/>
    <w:semiHidden/>
    <w:unhideWhenUsed/>
    <w:rsid w:val="00F86382"/>
    <w:rPr>
      <w:b/>
      <w:bCs/>
    </w:rPr>
  </w:style>
  <w:style w:type="character" w:customStyle="1" w:styleId="CommentSubjectChar">
    <w:name w:val="Comment Subject Char"/>
    <w:basedOn w:val="CommentTextChar"/>
    <w:link w:val="CommentSubject"/>
    <w:uiPriority w:val="99"/>
    <w:semiHidden/>
    <w:rsid w:val="00F86382"/>
    <w:rPr>
      <w:b/>
      <w:bCs/>
      <w:sz w:val="20"/>
      <w:szCs w:val="20"/>
    </w:rPr>
  </w:style>
  <w:style w:type="character" w:customStyle="1" w:styleId="normaltextrun">
    <w:name w:val="normaltextrun"/>
    <w:basedOn w:val="DefaultParagraphFont"/>
    <w:rsid w:val="003A6CB6"/>
  </w:style>
  <w:style w:type="character" w:styleId="Hyperlink">
    <w:name w:val="Hyperlink"/>
    <w:basedOn w:val="DefaultParagraphFont"/>
    <w:uiPriority w:val="99"/>
    <w:semiHidden/>
    <w:unhideWhenUsed/>
    <w:rsid w:val="00A016B2"/>
    <w:rPr>
      <w:strike w:val="0"/>
      <w:dstrike w:val="0"/>
      <w:color w:val="0000FF"/>
      <w:u w:val="none"/>
      <w:effect w:val="none"/>
    </w:rPr>
  </w:style>
  <w:style w:type="paragraph" w:styleId="Revision">
    <w:name w:val="Revision"/>
    <w:hidden/>
    <w:uiPriority w:val="99"/>
    <w:semiHidden/>
    <w:rsid w:val="001144FE"/>
    <w:pPr>
      <w:spacing w:after="0" w:line="240" w:lineRule="auto"/>
    </w:pPr>
  </w:style>
  <w:style w:type="paragraph" w:styleId="Header">
    <w:name w:val="header"/>
    <w:basedOn w:val="Normal"/>
    <w:link w:val="HeaderChar"/>
    <w:uiPriority w:val="99"/>
    <w:unhideWhenUsed/>
    <w:rsid w:val="005F5138"/>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F5138"/>
  </w:style>
  <w:style w:type="paragraph" w:styleId="Footer">
    <w:name w:val="footer"/>
    <w:basedOn w:val="Normal"/>
    <w:link w:val="FooterChar"/>
    <w:uiPriority w:val="99"/>
    <w:unhideWhenUsed/>
    <w:rsid w:val="005F5138"/>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F5138"/>
  </w:style>
  <w:style w:type="paragraph" w:styleId="FootnoteText">
    <w:name w:val="footnote text"/>
    <w:basedOn w:val="Normal"/>
    <w:link w:val="FootnoteTextChar"/>
    <w:uiPriority w:val="99"/>
    <w:semiHidden/>
    <w:unhideWhenUsed/>
    <w:rsid w:val="00204111"/>
    <w:rPr>
      <w:sz w:val="20"/>
      <w:szCs w:val="20"/>
    </w:rPr>
  </w:style>
  <w:style w:type="character" w:customStyle="1" w:styleId="FootnoteTextChar">
    <w:name w:val="Footnote Text Char"/>
    <w:basedOn w:val="DefaultParagraphFont"/>
    <w:link w:val="FootnoteText"/>
    <w:uiPriority w:val="99"/>
    <w:semiHidden/>
    <w:rsid w:val="0020411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04111"/>
    <w:rPr>
      <w:vertAlign w:val="superscript"/>
    </w:rPr>
  </w:style>
  <w:style w:type="table" w:styleId="TableGrid">
    <w:name w:val="Table Grid"/>
    <w:basedOn w:val="TableNormal"/>
    <w:uiPriority w:val="39"/>
    <w:rsid w:val="00587E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p">
    <w:name w:val="eop"/>
    <w:basedOn w:val="DefaultParagraphFont"/>
    <w:rsid w:val="003D00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462257">
      <w:bodyDiv w:val="1"/>
      <w:marLeft w:val="0"/>
      <w:marRight w:val="0"/>
      <w:marTop w:val="0"/>
      <w:marBottom w:val="0"/>
      <w:divBdr>
        <w:top w:val="none" w:sz="0" w:space="0" w:color="auto"/>
        <w:left w:val="none" w:sz="0" w:space="0" w:color="auto"/>
        <w:bottom w:val="none" w:sz="0" w:space="0" w:color="auto"/>
        <w:right w:val="none" w:sz="0" w:space="0" w:color="auto"/>
      </w:divBdr>
    </w:div>
    <w:div w:id="193463373">
      <w:bodyDiv w:val="1"/>
      <w:marLeft w:val="0"/>
      <w:marRight w:val="0"/>
      <w:marTop w:val="0"/>
      <w:marBottom w:val="0"/>
      <w:divBdr>
        <w:top w:val="none" w:sz="0" w:space="0" w:color="auto"/>
        <w:left w:val="none" w:sz="0" w:space="0" w:color="auto"/>
        <w:bottom w:val="none" w:sz="0" w:space="0" w:color="auto"/>
        <w:right w:val="none" w:sz="0" w:space="0" w:color="auto"/>
      </w:divBdr>
      <w:divsChild>
        <w:div w:id="1747453061">
          <w:marLeft w:val="0"/>
          <w:marRight w:val="0"/>
          <w:marTop w:val="0"/>
          <w:marBottom w:val="0"/>
          <w:divBdr>
            <w:top w:val="none" w:sz="0" w:space="0" w:color="auto"/>
            <w:left w:val="none" w:sz="0" w:space="0" w:color="auto"/>
            <w:bottom w:val="none" w:sz="0" w:space="0" w:color="auto"/>
            <w:right w:val="none" w:sz="0" w:space="0" w:color="auto"/>
          </w:divBdr>
        </w:div>
        <w:div w:id="1814834127">
          <w:marLeft w:val="0"/>
          <w:marRight w:val="0"/>
          <w:marTop w:val="0"/>
          <w:marBottom w:val="0"/>
          <w:divBdr>
            <w:top w:val="none" w:sz="0" w:space="0" w:color="auto"/>
            <w:left w:val="none" w:sz="0" w:space="0" w:color="auto"/>
            <w:bottom w:val="none" w:sz="0" w:space="0" w:color="auto"/>
            <w:right w:val="none" w:sz="0" w:space="0" w:color="auto"/>
          </w:divBdr>
        </w:div>
        <w:div w:id="954946844">
          <w:marLeft w:val="0"/>
          <w:marRight w:val="0"/>
          <w:marTop w:val="0"/>
          <w:marBottom w:val="0"/>
          <w:divBdr>
            <w:top w:val="none" w:sz="0" w:space="0" w:color="auto"/>
            <w:left w:val="none" w:sz="0" w:space="0" w:color="auto"/>
            <w:bottom w:val="none" w:sz="0" w:space="0" w:color="auto"/>
            <w:right w:val="none" w:sz="0" w:space="0" w:color="auto"/>
          </w:divBdr>
        </w:div>
        <w:div w:id="956136619">
          <w:marLeft w:val="0"/>
          <w:marRight w:val="0"/>
          <w:marTop w:val="0"/>
          <w:marBottom w:val="0"/>
          <w:divBdr>
            <w:top w:val="none" w:sz="0" w:space="0" w:color="auto"/>
            <w:left w:val="none" w:sz="0" w:space="0" w:color="auto"/>
            <w:bottom w:val="none" w:sz="0" w:space="0" w:color="auto"/>
            <w:right w:val="none" w:sz="0" w:space="0" w:color="auto"/>
          </w:divBdr>
        </w:div>
        <w:div w:id="1736662152">
          <w:marLeft w:val="0"/>
          <w:marRight w:val="0"/>
          <w:marTop w:val="0"/>
          <w:marBottom w:val="0"/>
          <w:divBdr>
            <w:top w:val="none" w:sz="0" w:space="0" w:color="auto"/>
            <w:left w:val="none" w:sz="0" w:space="0" w:color="auto"/>
            <w:bottom w:val="none" w:sz="0" w:space="0" w:color="auto"/>
            <w:right w:val="none" w:sz="0" w:space="0" w:color="auto"/>
          </w:divBdr>
        </w:div>
        <w:div w:id="1732075901">
          <w:marLeft w:val="0"/>
          <w:marRight w:val="0"/>
          <w:marTop w:val="0"/>
          <w:marBottom w:val="0"/>
          <w:divBdr>
            <w:top w:val="none" w:sz="0" w:space="0" w:color="auto"/>
            <w:left w:val="none" w:sz="0" w:space="0" w:color="auto"/>
            <w:bottom w:val="none" w:sz="0" w:space="0" w:color="auto"/>
            <w:right w:val="none" w:sz="0" w:space="0" w:color="auto"/>
          </w:divBdr>
        </w:div>
        <w:div w:id="333843986">
          <w:marLeft w:val="0"/>
          <w:marRight w:val="0"/>
          <w:marTop w:val="0"/>
          <w:marBottom w:val="0"/>
          <w:divBdr>
            <w:top w:val="none" w:sz="0" w:space="0" w:color="auto"/>
            <w:left w:val="none" w:sz="0" w:space="0" w:color="auto"/>
            <w:bottom w:val="none" w:sz="0" w:space="0" w:color="auto"/>
            <w:right w:val="none" w:sz="0" w:space="0" w:color="auto"/>
          </w:divBdr>
        </w:div>
        <w:div w:id="1352684602">
          <w:marLeft w:val="0"/>
          <w:marRight w:val="0"/>
          <w:marTop w:val="0"/>
          <w:marBottom w:val="0"/>
          <w:divBdr>
            <w:top w:val="none" w:sz="0" w:space="0" w:color="auto"/>
            <w:left w:val="none" w:sz="0" w:space="0" w:color="auto"/>
            <w:bottom w:val="none" w:sz="0" w:space="0" w:color="auto"/>
            <w:right w:val="none" w:sz="0" w:space="0" w:color="auto"/>
          </w:divBdr>
        </w:div>
        <w:div w:id="1394542712">
          <w:marLeft w:val="0"/>
          <w:marRight w:val="0"/>
          <w:marTop w:val="0"/>
          <w:marBottom w:val="0"/>
          <w:divBdr>
            <w:top w:val="none" w:sz="0" w:space="0" w:color="auto"/>
            <w:left w:val="none" w:sz="0" w:space="0" w:color="auto"/>
            <w:bottom w:val="none" w:sz="0" w:space="0" w:color="auto"/>
            <w:right w:val="none" w:sz="0" w:space="0" w:color="auto"/>
          </w:divBdr>
        </w:div>
        <w:div w:id="1598101052">
          <w:marLeft w:val="0"/>
          <w:marRight w:val="0"/>
          <w:marTop w:val="0"/>
          <w:marBottom w:val="0"/>
          <w:divBdr>
            <w:top w:val="none" w:sz="0" w:space="0" w:color="auto"/>
            <w:left w:val="none" w:sz="0" w:space="0" w:color="auto"/>
            <w:bottom w:val="none" w:sz="0" w:space="0" w:color="auto"/>
            <w:right w:val="none" w:sz="0" w:space="0" w:color="auto"/>
          </w:divBdr>
        </w:div>
        <w:div w:id="30111348">
          <w:marLeft w:val="0"/>
          <w:marRight w:val="0"/>
          <w:marTop w:val="0"/>
          <w:marBottom w:val="0"/>
          <w:divBdr>
            <w:top w:val="none" w:sz="0" w:space="0" w:color="auto"/>
            <w:left w:val="none" w:sz="0" w:space="0" w:color="auto"/>
            <w:bottom w:val="none" w:sz="0" w:space="0" w:color="auto"/>
            <w:right w:val="none" w:sz="0" w:space="0" w:color="auto"/>
          </w:divBdr>
        </w:div>
        <w:div w:id="1538396093">
          <w:marLeft w:val="0"/>
          <w:marRight w:val="0"/>
          <w:marTop w:val="0"/>
          <w:marBottom w:val="0"/>
          <w:divBdr>
            <w:top w:val="none" w:sz="0" w:space="0" w:color="auto"/>
            <w:left w:val="none" w:sz="0" w:space="0" w:color="auto"/>
            <w:bottom w:val="none" w:sz="0" w:space="0" w:color="auto"/>
            <w:right w:val="none" w:sz="0" w:space="0" w:color="auto"/>
          </w:divBdr>
        </w:div>
        <w:div w:id="1210071649">
          <w:marLeft w:val="0"/>
          <w:marRight w:val="0"/>
          <w:marTop w:val="0"/>
          <w:marBottom w:val="0"/>
          <w:divBdr>
            <w:top w:val="none" w:sz="0" w:space="0" w:color="auto"/>
            <w:left w:val="none" w:sz="0" w:space="0" w:color="auto"/>
            <w:bottom w:val="none" w:sz="0" w:space="0" w:color="auto"/>
            <w:right w:val="none" w:sz="0" w:space="0" w:color="auto"/>
          </w:divBdr>
        </w:div>
        <w:div w:id="1030571028">
          <w:marLeft w:val="0"/>
          <w:marRight w:val="0"/>
          <w:marTop w:val="0"/>
          <w:marBottom w:val="0"/>
          <w:divBdr>
            <w:top w:val="none" w:sz="0" w:space="0" w:color="auto"/>
            <w:left w:val="none" w:sz="0" w:space="0" w:color="auto"/>
            <w:bottom w:val="none" w:sz="0" w:space="0" w:color="auto"/>
            <w:right w:val="none" w:sz="0" w:space="0" w:color="auto"/>
          </w:divBdr>
        </w:div>
        <w:div w:id="1433209961">
          <w:marLeft w:val="0"/>
          <w:marRight w:val="0"/>
          <w:marTop w:val="0"/>
          <w:marBottom w:val="0"/>
          <w:divBdr>
            <w:top w:val="none" w:sz="0" w:space="0" w:color="auto"/>
            <w:left w:val="none" w:sz="0" w:space="0" w:color="auto"/>
            <w:bottom w:val="none" w:sz="0" w:space="0" w:color="auto"/>
            <w:right w:val="none" w:sz="0" w:space="0" w:color="auto"/>
          </w:divBdr>
        </w:div>
        <w:div w:id="397286054">
          <w:marLeft w:val="0"/>
          <w:marRight w:val="0"/>
          <w:marTop w:val="0"/>
          <w:marBottom w:val="0"/>
          <w:divBdr>
            <w:top w:val="none" w:sz="0" w:space="0" w:color="auto"/>
            <w:left w:val="none" w:sz="0" w:space="0" w:color="auto"/>
            <w:bottom w:val="none" w:sz="0" w:space="0" w:color="auto"/>
            <w:right w:val="none" w:sz="0" w:space="0" w:color="auto"/>
          </w:divBdr>
        </w:div>
        <w:div w:id="1909653631">
          <w:marLeft w:val="0"/>
          <w:marRight w:val="0"/>
          <w:marTop w:val="0"/>
          <w:marBottom w:val="0"/>
          <w:divBdr>
            <w:top w:val="none" w:sz="0" w:space="0" w:color="auto"/>
            <w:left w:val="none" w:sz="0" w:space="0" w:color="auto"/>
            <w:bottom w:val="none" w:sz="0" w:space="0" w:color="auto"/>
            <w:right w:val="none" w:sz="0" w:space="0" w:color="auto"/>
          </w:divBdr>
        </w:div>
        <w:div w:id="332339374">
          <w:marLeft w:val="0"/>
          <w:marRight w:val="0"/>
          <w:marTop w:val="0"/>
          <w:marBottom w:val="0"/>
          <w:divBdr>
            <w:top w:val="none" w:sz="0" w:space="0" w:color="auto"/>
            <w:left w:val="none" w:sz="0" w:space="0" w:color="auto"/>
            <w:bottom w:val="none" w:sz="0" w:space="0" w:color="auto"/>
            <w:right w:val="none" w:sz="0" w:space="0" w:color="auto"/>
          </w:divBdr>
        </w:div>
        <w:div w:id="1601253756">
          <w:marLeft w:val="0"/>
          <w:marRight w:val="0"/>
          <w:marTop w:val="0"/>
          <w:marBottom w:val="0"/>
          <w:divBdr>
            <w:top w:val="none" w:sz="0" w:space="0" w:color="auto"/>
            <w:left w:val="none" w:sz="0" w:space="0" w:color="auto"/>
            <w:bottom w:val="none" w:sz="0" w:space="0" w:color="auto"/>
            <w:right w:val="none" w:sz="0" w:space="0" w:color="auto"/>
          </w:divBdr>
        </w:div>
      </w:divsChild>
    </w:div>
    <w:div w:id="915095692">
      <w:bodyDiv w:val="1"/>
      <w:marLeft w:val="0"/>
      <w:marRight w:val="0"/>
      <w:marTop w:val="0"/>
      <w:marBottom w:val="0"/>
      <w:divBdr>
        <w:top w:val="none" w:sz="0" w:space="0" w:color="auto"/>
        <w:left w:val="none" w:sz="0" w:space="0" w:color="auto"/>
        <w:bottom w:val="none" w:sz="0" w:space="0" w:color="auto"/>
        <w:right w:val="none" w:sz="0" w:space="0" w:color="auto"/>
      </w:divBdr>
      <w:divsChild>
        <w:div w:id="903373246">
          <w:marLeft w:val="0"/>
          <w:marRight w:val="0"/>
          <w:marTop w:val="0"/>
          <w:marBottom w:val="0"/>
          <w:divBdr>
            <w:top w:val="none" w:sz="0" w:space="0" w:color="auto"/>
            <w:left w:val="none" w:sz="0" w:space="0" w:color="auto"/>
            <w:bottom w:val="none" w:sz="0" w:space="0" w:color="auto"/>
            <w:right w:val="none" w:sz="0" w:space="0" w:color="auto"/>
          </w:divBdr>
        </w:div>
        <w:div w:id="1244954541">
          <w:marLeft w:val="0"/>
          <w:marRight w:val="0"/>
          <w:marTop w:val="0"/>
          <w:marBottom w:val="0"/>
          <w:divBdr>
            <w:top w:val="none" w:sz="0" w:space="0" w:color="auto"/>
            <w:left w:val="none" w:sz="0" w:space="0" w:color="auto"/>
            <w:bottom w:val="none" w:sz="0" w:space="0" w:color="auto"/>
            <w:right w:val="none" w:sz="0" w:space="0" w:color="auto"/>
          </w:divBdr>
        </w:div>
        <w:div w:id="723605064">
          <w:marLeft w:val="0"/>
          <w:marRight w:val="0"/>
          <w:marTop w:val="0"/>
          <w:marBottom w:val="0"/>
          <w:divBdr>
            <w:top w:val="none" w:sz="0" w:space="0" w:color="auto"/>
            <w:left w:val="none" w:sz="0" w:space="0" w:color="auto"/>
            <w:bottom w:val="none" w:sz="0" w:space="0" w:color="auto"/>
            <w:right w:val="none" w:sz="0" w:space="0" w:color="auto"/>
          </w:divBdr>
        </w:div>
      </w:divsChild>
    </w:div>
    <w:div w:id="1060595407">
      <w:bodyDiv w:val="1"/>
      <w:marLeft w:val="0"/>
      <w:marRight w:val="0"/>
      <w:marTop w:val="0"/>
      <w:marBottom w:val="0"/>
      <w:divBdr>
        <w:top w:val="none" w:sz="0" w:space="0" w:color="auto"/>
        <w:left w:val="none" w:sz="0" w:space="0" w:color="auto"/>
        <w:bottom w:val="none" w:sz="0" w:space="0" w:color="auto"/>
        <w:right w:val="none" w:sz="0" w:space="0" w:color="auto"/>
      </w:divBdr>
    </w:div>
    <w:div w:id="1189416204">
      <w:bodyDiv w:val="1"/>
      <w:marLeft w:val="0"/>
      <w:marRight w:val="0"/>
      <w:marTop w:val="0"/>
      <w:marBottom w:val="0"/>
      <w:divBdr>
        <w:top w:val="none" w:sz="0" w:space="0" w:color="auto"/>
        <w:left w:val="none" w:sz="0" w:space="0" w:color="auto"/>
        <w:bottom w:val="none" w:sz="0" w:space="0" w:color="auto"/>
        <w:right w:val="none" w:sz="0" w:space="0" w:color="auto"/>
      </w:divBdr>
    </w:div>
    <w:div w:id="1293828574">
      <w:bodyDiv w:val="1"/>
      <w:marLeft w:val="0"/>
      <w:marRight w:val="0"/>
      <w:marTop w:val="0"/>
      <w:marBottom w:val="0"/>
      <w:divBdr>
        <w:top w:val="none" w:sz="0" w:space="0" w:color="auto"/>
        <w:left w:val="none" w:sz="0" w:space="0" w:color="auto"/>
        <w:bottom w:val="none" w:sz="0" w:space="0" w:color="auto"/>
        <w:right w:val="none" w:sz="0" w:space="0" w:color="auto"/>
      </w:divBdr>
      <w:divsChild>
        <w:div w:id="198977734">
          <w:marLeft w:val="0"/>
          <w:marRight w:val="0"/>
          <w:marTop w:val="0"/>
          <w:marBottom w:val="0"/>
          <w:divBdr>
            <w:top w:val="none" w:sz="0" w:space="0" w:color="auto"/>
            <w:left w:val="none" w:sz="0" w:space="0" w:color="auto"/>
            <w:bottom w:val="none" w:sz="0" w:space="0" w:color="auto"/>
            <w:right w:val="none" w:sz="0" w:space="0" w:color="auto"/>
          </w:divBdr>
        </w:div>
        <w:div w:id="1279875925">
          <w:marLeft w:val="0"/>
          <w:marRight w:val="0"/>
          <w:marTop w:val="0"/>
          <w:marBottom w:val="0"/>
          <w:divBdr>
            <w:top w:val="none" w:sz="0" w:space="0" w:color="auto"/>
            <w:left w:val="none" w:sz="0" w:space="0" w:color="auto"/>
            <w:bottom w:val="none" w:sz="0" w:space="0" w:color="auto"/>
            <w:right w:val="none" w:sz="0" w:space="0" w:color="auto"/>
          </w:divBdr>
        </w:div>
        <w:div w:id="1788502588">
          <w:marLeft w:val="0"/>
          <w:marRight w:val="0"/>
          <w:marTop w:val="0"/>
          <w:marBottom w:val="0"/>
          <w:divBdr>
            <w:top w:val="none" w:sz="0" w:space="0" w:color="auto"/>
            <w:left w:val="none" w:sz="0" w:space="0" w:color="auto"/>
            <w:bottom w:val="none" w:sz="0" w:space="0" w:color="auto"/>
            <w:right w:val="none" w:sz="0" w:space="0" w:color="auto"/>
          </w:divBdr>
        </w:div>
        <w:div w:id="1230771891">
          <w:marLeft w:val="0"/>
          <w:marRight w:val="0"/>
          <w:marTop w:val="0"/>
          <w:marBottom w:val="0"/>
          <w:divBdr>
            <w:top w:val="none" w:sz="0" w:space="0" w:color="auto"/>
            <w:left w:val="none" w:sz="0" w:space="0" w:color="auto"/>
            <w:bottom w:val="none" w:sz="0" w:space="0" w:color="auto"/>
            <w:right w:val="none" w:sz="0" w:space="0" w:color="auto"/>
          </w:divBdr>
        </w:div>
        <w:div w:id="1840270399">
          <w:marLeft w:val="0"/>
          <w:marRight w:val="0"/>
          <w:marTop w:val="0"/>
          <w:marBottom w:val="0"/>
          <w:divBdr>
            <w:top w:val="none" w:sz="0" w:space="0" w:color="auto"/>
            <w:left w:val="none" w:sz="0" w:space="0" w:color="auto"/>
            <w:bottom w:val="none" w:sz="0" w:space="0" w:color="auto"/>
            <w:right w:val="none" w:sz="0" w:space="0" w:color="auto"/>
          </w:divBdr>
        </w:div>
        <w:div w:id="732239608">
          <w:marLeft w:val="0"/>
          <w:marRight w:val="0"/>
          <w:marTop w:val="0"/>
          <w:marBottom w:val="0"/>
          <w:divBdr>
            <w:top w:val="none" w:sz="0" w:space="0" w:color="auto"/>
            <w:left w:val="none" w:sz="0" w:space="0" w:color="auto"/>
            <w:bottom w:val="none" w:sz="0" w:space="0" w:color="auto"/>
            <w:right w:val="none" w:sz="0" w:space="0" w:color="auto"/>
          </w:divBdr>
        </w:div>
        <w:div w:id="1010447461">
          <w:marLeft w:val="0"/>
          <w:marRight w:val="0"/>
          <w:marTop w:val="0"/>
          <w:marBottom w:val="0"/>
          <w:divBdr>
            <w:top w:val="none" w:sz="0" w:space="0" w:color="auto"/>
            <w:left w:val="none" w:sz="0" w:space="0" w:color="auto"/>
            <w:bottom w:val="none" w:sz="0" w:space="0" w:color="auto"/>
            <w:right w:val="none" w:sz="0" w:space="0" w:color="auto"/>
          </w:divBdr>
        </w:div>
        <w:div w:id="294873787">
          <w:marLeft w:val="0"/>
          <w:marRight w:val="0"/>
          <w:marTop w:val="0"/>
          <w:marBottom w:val="0"/>
          <w:divBdr>
            <w:top w:val="none" w:sz="0" w:space="0" w:color="auto"/>
            <w:left w:val="none" w:sz="0" w:space="0" w:color="auto"/>
            <w:bottom w:val="none" w:sz="0" w:space="0" w:color="auto"/>
            <w:right w:val="none" w:sz="0" w:space="0" w:color="auto"/>
          </w:divBdr>
        </w:div>
        <w:div w:id="928121905">
          <w:marLeft w:val="0"/>
          <w:marRight w:val="0"/>
          <w:marTop w:val="0"/>
          <w:marBottom w:val="0"/>
          <w:divBdr>
            <w:top w:val="none" w:sz="0" w:space="0" w:color="auto"/>
            <w:left w:val="none" w:sz="0" w:space="0" w:color="auto"/>
            <w:bottom w:val="none" w:sz="0" w:space="0" w:color="auto"/>
            <w:right w:val="none" w:sz="0" w:space="0" w:color="auto"/>
          </w:divBdr>
        </w:div>
        <w:div w:id="1368871529">
          <w:marLeft w:val="0"/>
          <w:marRight w:val="0"/>
          <w:marTop w:val="0"/>
          <w:marBottom w:val="0"/>
          <w:divBdr>
            <w:top w:val="none" w:sz="0" w:space="0" w:color="auto"/>
            <w:left w:val="none" w:sz="0" w:space="0" w:color="auto"/>
            <w:bottom w:val="none" w:sz="0" w:space="0" w:color="auto"/>
            <w:right w:val="none" w:sz="0" w:space="0" w:color="auto"/>
          </w:divBdr>
        </w:div>
        <w:div w:id="613563304">
          <w:marLeft w:val="0"/>
          <w:marRight w:val="0"/>
          <w:marTop w:val="0"/>
          <w:marBottom w:val="0"/>
          <w:divBdr>
            <w:top w:val="none" w:sz="0" w:space="0" w:color="auto"/>
            <w:left w:val="none" w:sz="0" w:space="0" w:color="auto"/>
            <w:bottom w:val="none" w:sz="0" w:space="0" w:color="auto"/>
            <w:right w:val="none" w:sz="0" w:space="0" w:color="auto"/>
          </w:divBdr>
        </w:div>
        <w:div w:id="855118223">
          <w:marLeft w:val="0"/>
          <w:marRight w:val="0"/>
          <w:marTop w:val="0"/>
          <w:marBottom w:val="0"/>
          <w:divBdr>
            <w:top w:val="none" w:sz="0" w:space="0" w:color="auto"/>
            <w:left w:val="none" w:sz="0" w:space="0" w:color="auto"/>
            <w:bottom w:val="none" w:sz="0" w:space="0" w:color="auto"/>
            <w:right w:val="none" w:sz="0" w:space="0" w:color="auto"/>
          </w:divBdr>
        </w:div>
        <w:div w:id="769277774">
          <w:marLeft w:val="0"/>
          <w:marRight w:val="0"/>
          <w:marTop w:val="0"/>
          <w:marBottom w:val="0"/>
          <w:divBdr>
            <w:top w:val="none" w:sz="0" w:space="0" w:color="auto"/>
            <w:left w:val="none" w:sz="0" w:space="0" w:color="auto"/>
            <w:bottom w:val="none" w:sz="0" w:space="0" w:color="auto"/>
            <w:right w:val="none" w:sz="0" w:space="0" w:color="auto"/>
          </w:divBdr>
        </w:div>
        <w:div w:id="518738662">
          <w:marLeft w:val="0"/>
          <w:marRight w:val="0"/>
          <w:marTop w:val="0"/>
          <w:marBottom w:val="0"/>
          <w:divBdr>
            <w:top w:val="none" w:sz="0" w:space="0" w:color="auto"/>
            <w:left w:val="none" w:sz="0" w:space="0" w:color="auto"/>
            <w:bottom w:val="none" w:sz="0" w:space="0" w:color="auto"/>
            <w:right w:val="none" w:sz="0" w:space="0" w:color="auto"/>
          </w:divBdr>
        </w:div>
        <w:div w:id="1626422996">
          <w:marLeft w:val="0"/>
          <w:marRight w:val="0"/>
          <w:marTop w:val="0"/>
          <w:marBottom w:val="0"/>
          <w:divBdr>
            <w:top w:val="none" w:sz="0" w:space="0" w:color="auto"/>
            <w:left w:val="none" w:sz="0" w:space="0" w:color="auto"/>
            <w:bottom w:val="none" w:sz="0" w:space="0" w:color="auto"/>
            <w:right w:val="none" w:sz="0" w:space="0" w:color="auto"/>
          </w:divBdr>
        </w:div>
        <w:div w:id="1415200764">
          <w:marLeft w:val="0"/>
          <w:marRight w:val="0"/>
          <w:marTop w:val="0"/>
          <w:marBottom w:val="0"/>
          <w:divBdr>
            <w:top w:val="none" w:sz="0" w:space="0" w:color="auto"/>
            <w:left w:val="none" w:sz="0" w:space="0" w:color="auto"/>
            <w:bottom w:val="none" w:sz="0" w:space="0" w:color="auto"/>
            <w:right w:val="none" w:sz="0" w:space="0" w:color="auto"/>
          </w:divBdr>
        </w:div>
        <w:div w:id="856774597">
          <w:marLeft w:val="0"/>
          <w:marRight w:val="0"/>
          <w:marTop w:val="0"/>
          <w:marBottom w:val="0"/>
          <w:divBdr>
            <w:top w:val="none" w:sz="0" w:space="0" w:color="auto"/>
            <w:left w:val="none" w:sz="0" w:space="0" w:color="auto"/>
            <w:bottom w:val="none" w:sz="0" w:space="0" w:color="auto"/>
            <w:right w:val="none" w:sz="0" w:space="0" w:color="auto"/>
          </w:divBdr>
        </w:div>
        <w:div w:id="1287396653">
          <w:marLeft w:val="0"/>
          <w:marRight w:val="0"/>
          <w:marTop w:val="0"/>
          <w:marBottom w:val="0"/>
          <w:divBdr>
            <w:top w:val="none" w:sz="0" w:space="0" w:color="auto"/>
            <w:left w:val="none" w:sz="0" w:space="0" w:color="auto"/>
            <w:bottom w:val="none" w:sz="0" w:space="0" w:color="auto"/>
            <w:right w:val="none" w:sz="0" w:space="0" w:color="auto"/>
          </w:divBdr>
        </w:div>
        <w:div w:id="1296643726">
          <w:marLeft w:val="0"/>
          <w:marRight w:val="0"/>
          <w:marTop w:val="0"/>
          <w:marBottom w:val="0"/>
          <w:divBdr>
            <w:top w:val="none" w:sz="0" w:space="0" w:color="auto"/>
            <w:left w:val="none" w:sz="0" w:space="0" w:color="auto"/>
            <w:bottom w:val="none" w:sz="0" w:space="0" w:color="auto"/>
            <w:right w:val="none" w:sz="0" w:space="0" w:color="auto"/>
          </w:divBdr>
        </w:div>
        <w:div w:id="2073649899">
          <w:marLeft w:val="0"/>
          <w:marRight w:val="0"/>
          <w:marTop w:val="0"/>
          <w:marBottom w:val="0"/>
          <w:divBdr>
            <w:top w:val="none" w:sz="0" w:space="0" w:color="auto"/>
            <w:left w:val="none" w:sz="0" w:space="0" w:color="auto"/>
            <w:bottom w:val="none" w:sz="0" w:space="0" w:color="auto"/>
            <w:right w:val="none" w:sz="0" w:space="0" w:color="auto"/>
          </w:divBdr>
        </w:div>
        <w:div w:id="2108118488">
          <w:marLeft w:val="0"/>
          <w:marRight w:val="0"/>
          <w:marTop w:val="0"/>
          <w:marBottom w:val="0"/>
          <w:divBdr>
            <w:top w:val="none" w:sz="0" w:space="0" w:color="auto"/>
            <w:left w:val="none" w:sz="0" w:space="0" w:color="auto"/>
            <w:bottom w:val="none" w:sz="0" w:space="0" w:color="auto"/>
            <w:right w:val="none" w:sz="0" w:space="0" w:color="auto"/>
          </w:divBdr>
        </w:div>
        <w:div w:id="1433432037">
          <w:marLeft w:val="0"/>
          <w:marRight w:val="0"/>
          <w:marTop w:val="0"/>
          <w:marBottom w:val="0"/>
          <w:divBdr>
            <w:top w:val="none" w:sz="0" w:space="0" w:color="auto"/>
            <w:left w:val="none" w:sz="0" w:space="0" w:color="auto"/>
            <w:bottom w:val="none" w:sz="0" w:space="0" w:color="auto"/>
            <w:right w:val="none" w:sz="0" w:space="0" w:color="auto"/>
          </w:divBdr>
        </w:div>
        <w:div w:id="1505776264">
          <w:marLeft w:val="0"/>
          <w:marRight w:val="0"/>
          <w:marTop w:val="0"/>
          <w:marBottom w:val="0"/>
          <w:divBdr>
            <w:top w:val="none" w:sz="0" w:space="0" w:color="auto"/>
            <w:left w:val="none" w:sz="0" w:space="0" w:color="auto"/>
            <w:bottom w:val="none" w:sz="0" w:space="0" w:color="auto"/>
            <w:right w:val="none" w:sz="0" w:space="0" w:color="auto"/>
          </w:divBdr>
        </w:div>
        <w:div w:id="1160385315">
          <w:marLeft w:val="0"/>
          <w:marRight w:val="0"/>
          <w:marTop w:val="0"/>
          <w:marBottom w:val="0"/>
          <w:divBdr>
            <w:top w:val="none" w:sz="0" w:space="0" w:color="auto"/>
            <w:left w:val="none" w:sz="0" w:space="0" w:color="auto"/>
            <w:bottom w:val="none" w:sz="0" w:space="0" w:color="auto"/>
            <w:right w:val="none" w:sz="0" w:space="0" w:color="auto"/>
          </w:divBdr>
        </w:div>
        <w:div w:id="1112478754">
          <w:marLeft w:val="0"/>
          <w:marRight w:val="0"/>
          <w:marTop w:val="0"/>
          <w:marBottom w:val="0"/>
          <w:divBdr>
            <w:top w:val="none" w:sz="0" w:space="0" w:color="auto"/>
            <w:left w:val="none" w:sz="0" w:space="0" w:color="auto"/>
            <w:bottom w:val="none" w:sz="0" w:space="0" w:color="auto"/>
            <w:right w:val="none" w:sz="0" w:space="0" w:color="auto"/>
          </w:divBdr>
        </w:div>
        <w:div w:id="2101558965">
          <w:marLeft w:val="0"/>
          <w:marRight w:val="0"/>
          <w:marTop w:val="0"/>
          <w:marBottom w:val="0"/>
          <w:divBdr>
            <w:top w:val="none" w:sz="0" w:space="0" w:color="auto"/>
            <w:left w:val="none" w:sz="0" w:space="0" w:color="auto"/>
            <w:bottom w:val="none" w:sz="0" w:space="0" w:color="auto"/>
            <w:right w:val="none" w:sz="0" w:space="0" w:color="auto"/>
          </w:divBdr>
        </w:div>
      </w:divsChild>
    </w:div>
    <w:div w:id="1418551266">
      <w:bodyDiv w:val="1"/>
      <w:marLeft w:val="0"/>
      <w:marRight w:val="0"/>
      <w:marTop w:val="0"/>
      <w:marBottom w:val="0"/>
      <w:divBdr>
        <w:top w:val="none" w:sz="0" w:space="0" w:color="auto"/>
        <w:left w:val="none" w:sz="0" w:space="0" w:color="auto"/>
        <w:bottom w:val="none" w:sz="0" w:space="0" w:color="auto"/>
        <w:right w:val="none" w:sz="0" w:space="0" w:color="auto"/>
      </w:divBdr>
    </w:div>
    <w:div w:id="1640528920">
      <w:bodyDiv w:val="1"/>
      <w:marLeft w:val="0"/>
      <w:marRight w:val="0"/>
      <w:marTop w:val="0"/>
      <w:marBottom w:val="0"/>
      <w:divBdr>
        <w:top w:val="none" w:sz="0" w:space="0" w:color="auto"/>
        <w:left w:val="none" w:sz="0" w:space="0" w:color="auto"/>
        <w:bottom w:val="none" w:sz="0" w:space="0" w:color="auto"/>
        <w:right w:val="none" w:sz="0" w:space="0" w:color="auto"/>
      </w:divBdr>
      <w:divsChild>
        <w:div w:id="1587225351">
          <w:marLeft w:val="0"/>
          <w:marRight w:val="0"/>
          <w:marTop w:val="0"/>
          <w:marBottom w:val="0"/>
          <w:divBdr>
            <w:top w:val="none" w:sz="0" w:space="0" w:color="auto"/>
            <w:left w:val="none" w:sz="0" w:space="0" w:color="auto"/>
            <w:bottom w:val="none" w:sz="0" w:space="0" w:color="auto"/>
            <w:right w:val="none" w:sz="0" w:space="0" w:color="auto"/>
          </w:divBdr>
        </w:div>
        <w:div w:id="1206865870">
          <w:marLeft w:val="0"/>
          <w:marRight w:val="0"/>
          <w:marTop w:val="0"/>
          <w:marBottom w:val="0"/>
          <w:divBdr>
            <w:top w:val="none" w:sz="0" w:space="0" w:color="auto"/>
            <w:left w:val="none" w:sz="0" w:space="0" w:color="auto"/>
            <w:bottom w:val="none" w:sz="0" w:space="0" w:color="auto"/>
            <w:right w:val="none" w:sz="0" w:space="0" w:color="auto"/>
          </w:divBdr>
        </w:div>
        <w:div w:id="827097066">
          <w:marLeft w:val="0"/>
          <w:marRight w:val="0"/>
          <w:marTop w:val="0"/>
          <w:marBottom w:val="0"/>
          <w:divBdr>
            <w:top w:val="none" w:sz="0" w:space="0" w:color="auto"/>
            <w:left w:val="none" w:sz="0" w:space="0" w:color="auto"/>
            <w:bottom w:val="none" w:sz="0" w:space="0" w:color="auto"/>
            <w:right w:val="none" w:sz="0" w:space="0" w:color="auto"/>
          </w:divBdr>
        </w:div>
      </w:divsChild>
    </w:div>
    <w:div w:id="1840079425">
      <w:bodyDiv w:val="1"/>
      <w:marLeft w:val="0"/>
      <w:marRight w:val="0"/>
      <w:marTop w:val="0"/>
      <w:marBottom w:val="0"/>
      <w:divBdr>
        <w:top w:val="none" w:sz="0" w:space="0" w:color="auto"/>
        <w:left w:val="none" w:sz="0" w:space="0" w:color="auto"/>
        <w:bottom w:val="none" w:sz="0" w:space="0" w:color="auto"/>
        <w:right w:val="none" w:sz="0" w:space="0" w:color="auto"/>
      </w:divBdr>
    </w:div>
    <w:div w:id="1902132219">
      <w:bodyDiv w:val="1"/>
      <w:marLeft w:val="0"/>
      <w:marRight w:val="0"/>
      <w:marTop w:val="0"/>
      <w:marBottom w:val="0"/>
      <w:divBdr>
        <w:top w:val="none" w:sz="0" w:space="0" w:color="auto"/>
        <w:left w:val="none" w:sz="0" w:space="0" w:color="auto"/>
        <w:bottom w:val="none" w:sz="0" w:space="0" w:color="auto"/>
        <w:right w:val="none" w:sz="0" w:space="0" w:color="auto"/>
      </w:divBdr>
      <w:divsChild>
        <w:div w:id="1938251729">
          <w:marLeft w:val="0"/>
          <w:marRight w:val="0"/>
          <w:marTop w:val="0"/>
          <w:marBottom w:val="0"/>
          <w:divBdr>
            <w:top w:val="none" w:sz="0" w:space="0" w:color="auto"/>
            <w:left w:val="none" w:sz="0" w:space="0" w:color="auto"/>
            <w:bottom w:val="none" w:sz="0" w:space="0" w:color="auto"/>
            <w:right w:val="none" w:sz="0" w:space="0" w:color="auto"/>
          </w:divBdr>
        </w:div>
        <w:div w:id="2106919191">
          <w:marLeft w:val="0"/>
          <w:marRight w:val="0"/>
          <w:marTop w:val="0"/>
          <w:marBottom w:val="0"/>
          <w:divBdr>
            <w:top w:val="none" w:sz="0" w:space="0" w:color="auto"/>
            <w:left w:val="none" w:sz="0" w:space="0" w:color="auto"/>
            <w:bottom w:val="none" w:sz="0" w:space="0" w:color="auto"/>
            <w:right w:val="none" w:sz="0" w:space="0" w:color="auto"/>
          </w:divBdr>
        </w:div>
        <w:div w:id="913200147">
          <w:marLeft w:val="0"/>
          <w:marRight w:val="0"/>
          <w:marTop w:val="0"/>
          <w:marBottom w:val="0"/>
          <w:divBdr>
            <w:top w:val="none" w:sz="0" w:space="0" w:color="auto"/>
            <w:left w:val="none" w:sz="0" w:space="0" w:color="auto"/>
            <w:bottom w:val="none" w:sz="0" w:space="0" w:color="auto"/>
            <w:right w:val="none" w:sz="0" w:space="0" w:color="auto"/>
          </w:divBdr>
        </w:div>
        <w:div w:id="1879704428">
          <w:marLeft w:val="0"/>
          <w:marRight w:val="0"/>
          <w:marTop w:val="0"/>
          <w:marBottom w:val="0"/>
          <w:divBdr>
            <w:top w:val="none" w:sz="0" w:space="0" w:color="auto"/>
            <w:left w:val="none" w:sz="0" w:space="0" w:color="auto"/>
            <w:bottom w:val="none" w:sz="0" w:space="0" w:color="auto"/>
            <w:right w:val="none" w:sz="0" w:space="0" w:color="auto"/>
          </w:divBdr>
        </w:div>
        <w:div w:id="1424035571">
          <w:marLeft w:val="0"/>
          <w:marRight w:val="0"/>
          <w:marTop w:val="0"/>
          <w:marBottom w:val="0"/>
          <w:divBdr>
            <w:top w:val="none" w:sz="0" w:space="0" w:color="auto"/>
            <w:left w:val="none" w:sz="0" w:space="0" w:color="auto"/>
            <w:bottom w:val="none" w:sz="0" w:space="0" w:color="auto"/>
            <w:right w:val="none" w:sz="0" w:space="0" w:color="auto"/>
          </w:divBdr>
        </w:div>
        <w:div w:id="38476571">
          <w:marLeft w:val="0"/>
          <w:marRight w:val="0"/>
          <w:marTop w:val="0"/>
          <w:marBottom w:val="0"/>
          <w:divBdr>
            <w:top w:val="none" w:sz="0" w:space="0" w:color="auto"/>
            <w:left w:val="none" w:sz="0" w:space="0" w:color="auto"/>
            <w:bottom w:val="none" w:sz="0" w:space="0" w:color="auto"/>
            <w:right w:val="none" w:sz="0" w:space="0" w:color="auto"/>
          </w:divBdr>
        </w:div>
        <w:div w:id="1572233721">
          <w:marLeft w:val="0"/>
          <w:marRight w:val="0"/>
          <w:marTop w:val="0"/>
          <w:marBottom w:val="0"/>
          <w:divBdr>
            <w:top w:val="none" w:sz="0" w:space="0" w:color="auto"/>
            <w:left w:val="none" w:sz="0" w:space="0" w:color="auto"/>
            <w:bottom w:val="none" w:sz="0" w:space="0" w:color="auto"/>
            <w:right w:val="none" w:sz="0" w:space="0" w:color="auto"/>
          </w:divBdr>
        </w:div>
        <w:div w:id="869490381">
          <w:marLeft w:val="0"/>
          <w:marRight w:val="0"/>
          <w:marTop w:val="0"/>
          <w:marBottom w:val="0"/>
          <w:divBdr>
            <w:top w:val="none" w:sz="0" w:space="0" w:color="auto"/>
            <w:left w:val="none" w:sz="0" w:space="0" w:color="auto"/>
            <w:bottom w:val="none" w:sz="0" w:space="0" w:color="auto"/>
            <w:right w:val="none" w:sz="0" w:space="0" w:color="auto"/>
          </w:divBdr>
        </w:div>
        <w:div w:id="1990740593">
          <w:marLeft w:val="0"/>
          <w:marRight w:val="0"/>
          <w:marTop w:val="0"/>
          <w:marBottom w:val="0"/>
          <w:divBdr>
            <w:top w:val="none" w:sz="0" w:space="0" w:color="auto"/>
            <w:left w:val="none" w:sz="0" w:space="0" w:color="auto"/>
            <w:bottom w:val="none" w:sz="0" w:space="0" w:color="auto"/>
            <w:right w:val="none" w:sz="0" w:space="0" w:color="auto"/>
          </w:divBdr>
        </w:div>
        <w:div w:id="2124113607">
          <w:marLeft w:val="0"/>
          <w:marRight w:val="0"/>
          <w:marTop w:val="0"/>
          <w:marBottom w:val="0"/>
          <w:divBdr>
            <w:top w:val="none" w:sz="0" w:space="0" w:color="auto"/>
            <w:left w:val="none" w:sz="0" w:space="0" w:color="auto"/>
            <w:bottom w:val="none" w:sz="0" w:space="0" w:color="auto"/>
            <w:right w:val="none" w:sz="0" w:space="0" w:color="auto"/>
          </w:divBdr>
        </w:div>
        <w:div w:id="198519307">
          <w:marLeft w:val="0"/>
          <w:marRight w:val="0"/>
          <w:marTop w:val="0"/>
          <w:marBottom w:val="0"/>
          <w:divBdr>
            <w:top w:val="none" w:sz="0" w:space="0" w:color="auto"/>
            <w:left w:val="none" w:sz="0" w:space="0" w:color="auto"/>
            <w:bottom w:val="none" w:sz="0" w:space="0" w:color="auto"/>
            <w:right w:val="none" w:sz="0" w:space="0" w:color="auto"/>
          </w:divBdr>
        </w:div>
      </w:divsChild>
    </w:div>
    <w:div w:id="1921862616">
      <w:bodyDiv w:val="1"/>
      <w:marLeft w:val="0"/>
      <w:marRight w:val="0"/>
      <w:marTop w:val="0"/>
      <w:marBottom w:val="0"/>
      <w:divBdr>
        <w:top w:val="none" w:sz="0" w:space="0" w:color="auto"/>
        <w:left w:val="none" w:sz="0" w:space="0" w:color="auto"/>
        <w:bottom w:val="none" w:sz="0" w:space="0" w:color="auto"/>
        <w:right w:val="none" w:sz="0" w:space="0" w:color="auto"/>
      </w:divBdr>
    </w:div>
    <w:div w:id="1978797068">
      <w:bodyDiv w:val="1"/>
      <w:marLeft w:val="0"/>
      <w:marRight w:val="0"/>
      <w:marTop w:val="0"/>
      <w:marBottom w:val="0"/>
      <w:divBdr>
        <w:top w:val="none" w:sz="0" w:space="0" w:color="auto"/>
        <w:left w:val="none" w:sz="0" w:space="0" w:color="auto"/>
        <w:bottom w:val="none" w:sz="0" w:space="0" w:color="auto"/>
        <w:right w:val="none" w:sz="0" w:space="0" w:color="auto"/>
      </w:divBdr>
      <w:divsChild>
        <w:div w:id="1588229205">
          <w:marLeft w:val="0"/>
          <w:marRight w:val="0"/>
          <w:marTop w:val="0"/>
          <w:marBottom w:val="0"/>
          <w:divBdr>
            <w:top w:val="none" w:sz="0" w:space="0" w:color="auto"/>
            <w:left w:val="none" w:sz="0" w:space="0" w:color="auto"/>
            <w:bottom w:val="none" w:sz="0" w:space="0" w:color="auto"/>
            <w:right w:val="none" w:sz="0" w:space="0" w:color="auto"/>
          </w:divBdr>
        </w:div>
        <w:div w:id="174342464">
          <w:marLeft w:val="0"/>
          <w:marRight w:val="0"/>
          <w:marTop w:val="0"/>
          <w:marBottom w:val="0"/>
          <w:divBdr>
            <w:top w:val="none" w:sz="0" w:space="0" w:color="auto"/>
            <w:left w:val="none" w:sz="0" w:space="0" w:color="auto"/>
            <w:bottom w:val="none" w:sz="0" w:space="0" w:color="auto"/>
            <w:right w:val="none" w:sz="0" w:space="0" w:color="auto"/>
          </w:divBdr>
        </w:div>
        <w:div w:id="1651590532">
          <w:marLeft w:val="0"/>
          <w:marRight w:val="0"/>
          <w:marTop w:val="0"/>
          <w:marBottom w:val="0"/>
          <w:divBdr>
            <w:top w:val="none" w:sz="0" w:space="0" w:color="auto"/>
            <w:left w:val="none" w:sz="0" w:space="0" w:color="auto"/>
            <w:bottom w:val="none" w:sz="0" w:space="0" w:color="auto"/>
            <w:right w:val="none" w:sz="0" w:space="0" w:color="auto"/>
          </w:divBdr>
        </w:div>
        <w:div w:id="28801755">
          <w:marLeft w:val="0"/>
          <w:marRight w:val="0"/>
          <w:marTop w:val="0"/>
          <w:marBottom w:val="0"/>
          <w:divBdr>
            <w:top w:val="none" w:sz="0" w:space="0" w:color="auto"/>
            <w:left w:val="none" w:sz="0" w:space="0" w:color="auto"/>
            <w:bottom w:val="none" w:sz="0" w:space="0" w:color="auto"/>
            <w:right w:val="none" w:sz="0" w:space="0" w:color="auto"/>
          </w:divBdr>
        </w:div>
        <w:div w:id="1526551707">
          <w:marLeft w:val="0"/>
          <w:marRight w:val="0"/>
          <w:marTop w:val="0"/>
          <w:marBottom w:val="0"/>
          <w:divBdr>
            <w:top w:val="none" w:sz="0" w:space="0" w:color="auto"/>
            <w:left w:val="none" w:sz="0" w:space="0" w:color="auto"/>
            <w:bottom w:val="none" w:sz="0" w:space="0" w:color="auto"/>
            <w:right w:val="none" w:sz="0" w:space="0" w:color="auto"/>
          </w:divBdr>
        </w:div>
        <w:div w:id="1588154302">
          <w:marLeft w:val="0"/>
          <w:marRight w:val="0"/>
          <w:marTop w:val="0"/>
          <w:marBottom w:val="0"/>
          <w:divBdr>
            <w:top w:val="none" w:sz="0" w:space="0" w:color="auto"/>
            <w:left w:val="none" w:sz="0" w:space="0" w:color="auto"/>
            <w:bottom w:val="none" w:sz="0" w:space="0" w:color="auto"/>
            <w:right w:val="none" w:sz="0" w:space="0" w:color="auto"/>
          </w:divBdr>
        </w:div>
        <w:div w:id="1285310428">
          <w:marLeft w:val="0"/>
          <w:marRight w:val="0"/>
          <w:marTop w:val="0"/>
          <w:marBottom w:val="0"/>
          <w:divBdr>
            <w:top w:val="none" w:sz="0" w:space="0" w:color="auto"/>
            <w:left w:val="none" w:sz="0" w:space="0" w:color="auto"/>
            <w:bottom w:val="none" w:sz="0" w:space="0" w:color="auto"/>
            <w:right w:val="none" w:sz="0" w:space="0" w:color="auto"/>
          </w:divBdr>
        </w:div>
        <w:div w:id="1471551279">
          <w:marLeft w:val="0"/>
          <w:marRight w:val="0"/>
          <w:marTop w:val="0"/>
          <w:marBottom w:val="0"/>
          <w:divBdr>
            <w:top w:val="none" w:sz="0" w:space="0" w:color="auto"/>
            <w:left w:val="none" w:sz="0" w:space="0" w:color="auto"/>
            <w:bottom w:val="none" w:sz="0" w:space="0" w:color="auto"/>
            <w:right w:val="none" w:sz="0" w:space="0" w:color="auto"/>
          </w:divBdr>
        </w:div>
        <w:div w:id="46493674">
          <w:marLeft w:val="0"/>
          <w:marRight w:val="0"/>
          <w:marTop w:val="0"/>
          <w:marBottom w:val="0"/>
          <w:divBdr>
            <w:top w:val="none" w:sz="0" w:space="0" w:color="auto"/>
            <w:left w:val="none" w:sz="0" w:space="0" w:color="auto"/>
            <w:bottom w:val="none" w:sz="0" w:space="0" w:color="auto"/>
            <w:right w:val="none" w:sz="0" w:space="0" w:color="auto"/>
          </w:divBdr>
        </w:div>
        <w:div w:id="393243251">
          <w:marLeft w:val="0"/>
          <w:marRight w:val="0"/>
          <w:marTop w:val="0"/>
          <w:marBottom w:val="0"/>
          <w:divBdr>
            <w:top w:val="none" w:sz="0" w:space="0" w:color="auto"/>
            <w:left w:val="none" w:sz="0" w:space="0" w:color="auto"/>
            <w:bottom w:val="none" w:sz="0" w:space="0" w:color="auto"/>
            <w:right w:val="none" w:sz="0" w:space="0" w:color="auto"/>
          </w:divBdr>
        </w:div>
        <w:div w:id="1602644314">
          <w:marLeft w:val="0"/>
          <w:marRight w:val="0"/>
          <w:marTop w:val="0"/>
          <w:marBottom w:val="0"/>
          <w:divBdr>
            <w:top w:val="none" w:sz="0" w:space="0" w:color="auto"/>
            <w:left w:val="none" w:sz="0" w:space="0" w:color="auto"/>
            <w:bottom w:val="none" w:sz="0" w:space="0" w:color="auto"/>
            <w:right w:val="none" w:sz="0" w:space="0" w:color="auto"/>
          </w:divBdr>
        </w:div>
        <w:div w:id="1292247564">
          <w:marLeft w:val="0"/>
          <w:marRight w:val="0"/>
          <w:marTop w:val="0"/>
          <w:marBottom w:val="0"/>
          <w:divBdr>
            <w:top w:val="none" w:sz="0" w:space="0" w:color="auto"/>
            <w:left w:val="none" w:sz="0" w:space="0" w:color="auto"/>
            <w:bottom w:val="none" w:sz="0" w:space="0" w:color="auto"/>
            <w:right w:val="none" w:sz="0" w:space="0" w:color="auto"/>
          </w:divBdr>
        </w:div>
        <w:div w:id="1080639722">
          <w:marLeft w:val="0"/>
          <w:marRight w:val="0"/>
          <w:marTop w:val="0"/>
          <w:marBottom w:val="0"/>
          <w:divBdr>
            <w:top w:val="none" w:sz="0" w:space="0" w:color="auto"/>
            <w:left w:val="none" w:sz="0" w:space="0" w:color="auto"/>
            <w:bottom w:val="none" w:sz="0" w:space="0" w:color="auto"/>
            <w:right w:val="none" w:sz="0" w:space="0" w:color="auto"/>
          </w:divBdr>
        </w:div>
        <w:div w:id="1629899769">
          <w:marLeft w:val="0"/>
          <w:marRight w:val="0"/>
          <w:marTop w:val="0"/>
          <w:marBottom w:val="0"/>
          <w:divBdr>
            <w:top w:val="none" w:sz="0" w:space="0" w:color="auto"/>
            <w:left w:val="none" w:sz="0" w:space="0" w:color="auto"/>
            <w:bottom w:val="none" w:sz="0" w:space="0" w:color="auto"/>
            <w:right w:val="none" w:sz="0" w:space="0" w:color="auto"/>
          </w:divBdr>
        </w:div>
        <w:div w:id="853497843">
          <w:marLeft w:val="0"/>
          <w:marRight w:val="0"/>
          <w:marTop w:val="0"/>
          <w:marBottom w:val="0"/>
          <w:divBdr>
            <w:top w:val="none" w:sz="0" w:space="0" w:color="auto"/>
            <w:left w:val="none" w:sz="0" w:space="0" w:color="auto"/>
            <w:bottom w:val="none" w:sz="0" w:space="0" w:color="auto"/>
            <w:right w:val="none" w:sz="0" w:space="0" w:color="auto"/>
          </w:divBdr>
        </w:div>
        <w:div w:id="598566937">
          <w:marLeft w:val="0"/>
          <w:marRight w:val="0"/>
          <w:marTop w:val="0"/>
          <w:marBottom w:val="0"/>
          <w:divBdr>
            <w:top w:val="none" w:sz="0" w:space="0" w:color="auto"/>
            <w:left w:val="none" w:sz="0" w:space="0" w:color="auto"/>
            <w:bottom w:val="none" w:sz="0" w:space="0" w:color="auto"/>
            <w:right w:val="none" w:sz="0" w:space="0" w:color="auto"/>
          </w:divBdr>
        </w:div>
        <w:div w:id="5444915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1.png"/><Relationship Id="rId25" Type="http://schemas.openxmlformats.org/officeDocument/2006/relationships/theme" Target="theme/theme1.xm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microsoft.com/office/2016/09/relationships/commentsIds" Target="commentsIds.xml"/><Relationship Id="rId23"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46296CF82C314EA2BF4C06D0D8BCE0" ma:contentTypeVersion="" ma:contentTypeDescription="Create a new document." ma:contentTypeScope="" ma:versionID="2677c0af9d8fbe2021b0e21a28bf650d">
  <xsd:schema xmlns:xsd="http://www.w3.org/2001/XMLSchema" xmlns:xs="http://www.w3.org/2001/XMLSchema" xmlns:p="http://schemas.microsoft.com/office/2006/metadata/properties" xmlns:ns1="http://schemas.microsoft.com/sharepoint/v3" xmlns:ns2="07dc9e49-d90e-46cd-8790-3ae28d568790" xmlns:ns3="879a6e62-23c8-4734-be89-b1a1dd95b2e1" targetNamespace="http://schemas.microsoft.com/office/2006/metadata/properties" ma:root="true" ma:fieldsID="99d0e3ae1a4f97cba3833481afb641a6" ns1:_="" ns2:_="" ns3:_="">
    <xsd:import namespace="http://schemas.microsoft.com/sharepoint/v3"/>
    <xsd:import namespace="07dc9e49-d90e-46cd-8790-3ae28d568790"/>
    <xsd:import namespace="879a6e62-23c8-4734-be89-b1a1dd95b2e1"/>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dc9e49-d90e-46cd-8790-3ae28d56879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9a6e62-23c8-4734-be89-b1a1dd95b2e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66AB4BD9-04DC-4321-9640-5BBEB66B48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7dc9e49-d90e-46cd-8790-3ae28d568790"/>
    <ds:schemaRef ds:uri="879a6e62-23c8-4734-be89-b1a1dd95b2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3AB525-7FCE-43BF-A74E-88864967B45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6790105-C0FA-40D5-A0B6-1263DD4FD910}">
  <ds:schemaRefs>
    <ds:schemaRef ds:uri="http://schemas.microsoft.com/sharepoint/v3/contenttype/forms"/>
  </ds:schemaRefs>
</ds:datastoreItem>
</file>

<file path=customXml/itemProps4.xml><?xml version="1.0" encoding="utf-8"?>
<ds:datastoreItem xmlns:ds="http://schemas.openxmlformats.org/officeDocument/2006/customXml" ds:itemID="{20DC68F1-4DAE-4651-8D01-F7773AE4D0BF}">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90A274A7-28F3-47BA-ABF3-3B9E16BD7A85}">
  <ds:schemaRefs>
    <ds:schemaRef ds:uri="http://schemas.microsoft.com/sharepoint/v3/contenttype/forms"/>
  </ds:schemaRefs>
</ds:datastoreItem>
</file>

<file path=customXml/itemProps6.xml><?xml version="1.0" encoding="utf-8"?>
<ds:datastoreItem xmlns:ds="http://schemas.openxmlformats.org/officeDocument/2006/customXml" ds:itemID="{D7A644DE-2E2A-44E5-86F0-A3CDD1F92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3511</Words>
  <Characters>20017</Characters>
  <Application>Microsoft Office Word</Application>
  <DocSecurity>0</DocSecurity>
  <Lines>166</Lines>
  <Paragraphs>46</Paragraphs>
  <ScaleCrop>false</ScaleCrop>
  <Company/>
  <LinksUpToDate>false</LinksUpToDate>
  <CharactersWithSpaces>23482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Goyal, Avani</dc:creator>
  <cp:keywords/>
  <dc:description/>
  <cp:lastModifiedBy>Bellows, Kristen</cp:lastModifiedBy>
  <cp:revision>2</cp:revision>
  <cp:lastPrinted>2019-06-28T14:37:00Z</cp:lastPrinted>
  <dcterms:created xsi:type="dcterms:W3CDTF">2021-08-23T16:57:00Z</dcterms:created>
  <dcterms:modified xsi:type="dcterms:W3CDTF">2021-08-23T16:57:00Z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0x010100A246296CF82C314EA2BF4C06D0D8BCE0</vt:lpwstr>
  </property>
  <property fmtid="{D5CDD505-2E9C-101B-9397-08002B2CF9AE}" pid="3" name="Order">
    <vt:r8>43600</vt:r8>
  </property>
</Properties>
</file>