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81CC" w14:textId="77777777" w:rsidR="00E97160" w:rsidRPr="00D26026" w:rsidRDefault="00E97160" w:rsidP="0049441F">
      <w:pPr>
        <w:rPr>
          <w:rFonts w:asciiTheme="minorHAnsi" w:hAnsiTheme="minorHAnsi" w:cstheme="minorHAnsi"/>
          <w:sz w:val="22"/>
          <w:szCs w:val="22"/>
        </w:rPr>
      </w:pPr>
      <w:bookmarkStart w:id="0" w:name="_GoBack"/>
      <w:bookmarkEnd w:id="0"/>
    </w:p>
    <w:p w14:paraId="26DFE493" w14:textId="601ACCD4" w:rsidR="00E97160" w:rsidRPr="00D26026" w:rsidRDefault="00E97160" w:rsidP="0049441F">
      <w:pPr>
        <w:rPr>
          <w:rFonts w:asciiTheme="minorHAnsi" w:hAnsiTheme="minorHAnsi" w:cstheme="minorHAnsi"/>
          <w:b/>
          <w:bCs/>
          <w:sz w:val="22"/>
          <w:szCs w:val="22"/>
          <w:u w:val="single"/>
        </w:rPr>
      </w:pPr>
      <w:r w:rsidRPr="00D26026">
        <w:rPr>
          <w:rFonts w:asciiTheme="minorHAnsi" w:hAnsiTheme="minorHAnsi" w:cstheme="minorHAnsi"/>
          <w:b/>
          <w:bCs/>
          <w:sz w:val="22"/>
          <w:szCs w:val="22"/>
          <w:u w:val="single"/>
        </w:rPr>
        <w:t xml:space="preserve">Revision </w:t>
      </w:r>
      <w:r w:rsidR="00587E88" w:rsidRPr="00D26026">
        <w:rPr>
          <w:rFonts w:asciiTheme="minorHAnsi" w:hAnsiTheme="minorHAnsi" w:cstheme="minorHAnsi"/>
          <w:b/>
          <w:bCs/>
          <w:sz w:val="22"/>
          <w:szCs w:val="22"/>
          <w:u w:val="single"/>
        </w:rPr>
        <w:t>H</w:t>
      </w:r>
      <w:r w:rsidRPr="00D26026">
        <w:rPr>
          <w:rFonts w:asciiTheme="minorHAnsi" w:hAnsiTheme="minorHAnsi" w:cstheme="minorHAnsi"/>
          <w:b/>
          <w:bCs/>
          <w:sz w:val="22"/>
          <w:szCs w:val="22"/>
          <w:u w:val="single"/>
        </w:rPr>
        <w:t xml:space="preserve">istory </w:t>
      </w:r>
    </w:p>
    <w:tbl>
      <w:tblPr>
        <w:tblStyle w:val="TableGrid"/>
        <w:tblW w:w="0" w:type="auto"/>
        <w:tblLook w:val="04A0" w:firstRow="1" w:lastRow="0" w:firstColumn="1" w:lastColumn="0" w:noHBand="0" w:noVBand="1"/>
      </w:tblPr>
      <w:tblGrid>
        <w:gridCol w:w="1525"/>
        <w:gridCol w:w="7825"/>
      </w:tblGrid>
      <w:tr w:rsidR="00587E88" w:rsidRPr="00D26026" w14:paraId="46C2B85C" w14:textId="77777777" w:rsidTr="00587E88">
        <w:tc>
          <w:tcPr>
            <w:tcW w:w="1525" w:type="dxa"/>
          </w:tcPr>
          <w:p w14:paraId="09408B7E" w14:textId="6CECA9B1" w:rsidR="00587E88" w:rsidRPr="00D26026" w:rsidRDefault="00587E88" w:rsidP="0049441F">
            <w:pPr>
              <w:rPr>
                <w:rFonts w:asciiTheme="minorHAnsi" w:hAnsiTheme="minorHAnsi" w:cstheme="minorHAnsi"/>
                <w:sz w:val="22"/>
                <w:szCs w:val="22"/>
              </w:rPr>
            </w:pPr>
            <w:r w:rsidRPr="00D26026">
              <w:rPr>
                <w:rFonts w:asciiTheme="minorHAnsi" w:hAnsiTheme="minorHAnsi" w:cstheme="minorHAnsi"/>
                <w:sz w:val="22"/>
                <w:szCs w:val="22"/>
              </w:rPr>
              <w:t>June 13, 2019</w:t>
            </w:r>
          </w:p>
        </w:tc>
        <w:tc>
          <w:tcPr>
            <w:tcW w:w="7825" w:type="dxa"/>
          </w:tcPr>
          <w:p w14:paraId="0C34202B" w14:textId="255A5365" w:rsidR="00587E88" w:rsidRPr="00D26026" w:rsidRDefault="00587E88" w:rsidP="0049441F">
            <w:pPr>
              <w:rPr>
                <w:rFonts w:asciiTheme="minorHAnsi" w:hAnsiTheme="minorHAnsi" w:cstheme="minorHAnsi"/>
                <w:sz w:val="22"/>
                <w:szCs w:val="22"/>
              </w:rPr>
            </w:pPr>
            <w:r w:rsidRPr="00D26026">
              <w:rPr>
                <w:rFonts w:asciiTheme="minorHAnsi" w:hAnsiTheme="minorHAnsi" w:cstheme="minorHAnsi"/>
                <w:sz w:val="22"/>
                <w:szCs w:val="22"/>
              </w:rPr>
              <w:t>Original version</w:t>
            </w:r>
          </w:p>
        </w:tc>
      </w:tr>
      <w:tr w:rsidR="00587E88" w:rsidRPr="00D26026" w14:paraId="50E45A9E" w14:textId="77777777" w:rsidTr="00587E88">
        <w:tc>
          <w:tcPr>
            <w:tcW w:w="1525" w:type="dxa"/>
          </w:tcPr>
          <w:p w14:paraId="372777BD" w14:textId="226505C2" w:rsidR="00587E88" w:rsidRPr="00D26026" w:rsidRDefault="00587E88" w:rsidP="0049441F">
            <w:pPr>
              <w:rPr>
                <w:rFonts w:asciiTheme="minorHAnsi" w:hAnsiTheme="minorHAnsi" w:cstheme="minorHAnsi"/>
                <w:sz w:val="22"/>
                <w:szCs w:val="22"/>
              </w:rPr>
            </w:pPr>
            <w:r w:rsidRPr="00D26026">
              <w:rPr>
                <w:rFonts w:asciiTheme="minorHAnsi" w:hAnsiTheme="minorHAnsi" w:cstheme="minorHAnsi"/>
                <w:sz w:val="22"/>
                <w:szCs w:val="22"/>
              </w:rPr>
              <w:t>July 10, 2019</w:t>
            </w:r>
          </w:p>
        </w:tc>
        <w:tc>
          <w:tcPr>
            <w:tcW w:w="7825" w:type="dxa"/>
          </w:tcPr>
          <w:p w14:paraId="204920FE" w14:textId="46A13FC3" w:rsidR="00587E88" w:rsidRPr="00D26026" w:rsidRDefault="00587E88" w:rsidP="00587E88">
            <w:pPr>
              <w:pStyle w:val="ListParagraph"/>
              <w:numPr>
                <w:ilvl w:val="0"/>
                <w:numId w:val="32"/>
              </w:numPr>
              <w:ind w:left="434"/>
              <w:rPr>
                <w:rFonts w:cstheme="minorHAnsi"/>
                <w:b/>
              </w:rPr>
            </w:pPr>
            <w:r w:rsidRPr="00AB68B4">
              <w:rPr>
                <w:rFonts w:cstheme="minorHAnsi"/>
              </w:rPr>
              <w:t>A</w:t>
            </w:r>
            <w:r w:rsidR="00274326" w:rsidRPr="00AB68B4">
              <w:rPr>
                <w:rFonts w:cstheme="minorHAnsi"/>
              </w:rPr>
              <w:t xml:space="preserve"> $4,500 per dwelling unit parking space</w:t>
            </w:r>
            <w:r w:rsidR="00F10ACF" w:rsidRPr="00AB68B4">
              <w:rPr>
                <w:rFonts w:cstheme="minorHAnsi"/>
              </w:rPr>
              <w:t xml:space="preserve"> utility cost</w:t>
            </w:r>
            <w:r w:rsidRPr="00AB68B4">
              <w:rPr>
                <w:rFonts w:cstheme="minorHAnsi"/>
              </w:rPr>
              <w:t xml:space="preserve"> </w:t>
            </w:r>
            <w:r w:rsidR="002F3C39" w:rsidRPr="00AB68B4">
              <w:rPr>
                <w:rFonts w:cstheme="minorHAnsi"/>
              </w:rPr>
              <w:t xml:space="preserve">exemption </w:t>
            </w:r>
            <w:r w:rsidR="00274326" w:rsidRPr="00AB68B4">
              <w:rPr>
                <w:rFonts w:cstheme="minorHAnsi"/>
              </w:rPr>
              <w:t xml:space="preserve">threshold </w:t>
            </w:r>
            <w:r w:rsidRPr="00AB68B4">
              <w:rPr>
                <w:rFonts w:cstheme="minorHAnsi"/>
              </w:rPr>
              <w:t xml:space="preserve">for multifamily dwellings was added to address the potential cost of the electric vehicle model reach code triggering additional on-site transformer(s) or utility service. This </w:t>
            </w:r>
            <w:r w:rsidR="002F3C39" w:rsidRPr="00AB68B4">
              <w:rPr>
                <w:rFonts w:cstheme="minorHAnsi"/>
              </w:rPr>
              <w:t xml:space="preserve">exemption </w:t>
            </w:r>
            <w:r w:rsidRPr="00AB68B4">
              <w:rPr>
                <w:rFonts w:cstheme="minorHAnsi"/>
              </w:rPr>
              <w:t>is in alignment with the existing and proposed 2019 state wide CALGreen multifamily code (Part 11, Chapter 4, section 4.106.4)</w:t>
            </w:r>
            <w:r w:rsidRPr="00D26026">
              <w:rPr>
                <w:rStyle w:val="FootnoteReference"/>
                <w:rFonts w:cstheme="minorHAnsi"/>
              </w:rPr>
              <w:footnoteReference w:id="1"/>
            </w:r>
            <w:r w:rsidRPr="00D26026">
              <w:rPr>
                <w:rFonts w:cstheme="minorHAnsi"/>
              </w:rPr>
              <w:t xml:space="preserve">.  </w:t>
            </w:r>
          </w:p>
          <w:p w14:paraId="30837090" w14:textId="77777777" w:rsidR="00587E88" w:rsidRPr="00AB68B4" w:rsidRDefault="00587E88" w:rsidP="00587E88">
            <w:pPr>
              <w:pStyle w:val="ListParagraph"/>
              <w:numPr>
                <w:ilvl w:val="0"/>
                <w:numId w:val="32"/>
              </w:numPr>
              <w:ind w:left="434"/>
              <w:rPr>
                <w:rFonts w:cstheme="minorHAnsi"/>
                <w:b/>
              </w:rPr>
            </w:pPr>
            <w:r w:rsidRPr="00AB68B4">
              <w:rPr>
                <w:rFonts w:cstheme="minorHAnsi"/>
              </w:rPr>
              <w:t>Minor clarification addressing construction documents in the definition of EV Capable;</w:t>
            </w:r>
          </w:p>
          <w:p w14:paraId="00297118" w14:textId="26C54518" w:rsidR="00587E88" w:rsidRPr="00AB68B4" w:rsidRDefault="00587E88" w:rsidP="00587E88">
            <w:pPr>
              <w:pStyle w:val="ListParagraph"/>
              <w:numPr>
                <w:ilvl w:val="0"/>
                <w:numId w:val="32"/>
              </w:numPr>
              <w:ind w:left="434"/>
              <w:rPr>
                <w:rFonts w:cstheme="minorHAnsi"/>
                <w:bCs/>
              </w:rPr>
            </w:pPr>
            <w:r w:rsidRPr="00AB68B4">
              <w:rPr>
                <w:rFonts w:cstheme="minorHAnsi"/>
                <w:bCs/>
              </w:rPr>
              <w:t xml:space="preserve">Clarifications in the Good Design Practices sections between Level 1 and Level 2. </w:t>
            </w:r>
          </w:p>
        </w:tc>
      </w:tr>
    </w:tbl>
    <w:p w14:paraId="31E3105C" w14:textId="6EF77189" w:rsidR="00587E88" w:rsidRPr="00D26026" w:rsidRDefault="00587E88" w:rsidP="0049441F">
      <w:pPr>
        <w:rPr>
          <w:rFonts w:asciiTheme="minorHAnsi" w:hAnsiTheme="minorHAnsi" w:cstheme="minorHAnsi"/>
          <w:sz w:val="22"/>
          <w:szCs w:val="22"/>
          <w:u w:val="single"/>
        </w:rPr>
      </w:pPr>
    </w:p>
    <w:p w14:paraId="25CB85FD" w14:textId="77777777" w:rsidR="00587E88" w:rsidRPr="00AB68B4" w:rsidRDefault="00587E88" w:rsidP="0049441F">
      <w:pPr>
        <w:rPr>
          <w:rFonts w:asciiTheme="minorHAnsi" w:hAnsiTheme="minorHAnsi" w:cstheme="minorHAnsi"/>
          <w:sz w:val="22"/>
          <w:szCs w:val="22"/>
          <w:u w:val="single"/>
        </w:rPr>
      </w:pPr>
    </w:p>
    <w:p w14:paraId="20313676" w14:textId="77777777" w:rsidR="00E97160" w:rsidRPr="00EB0888" w:rsidRDefault="00E97160" w:rsidP="0049441F">
      <w:pPr>
        <w:rPr>
          <w:rFonts w:asciiTheme="minorHAnsi" w:hAnsiTheme="minorHAnsi" w:cstheme="minorHAnsi"/>
          <w:b/>
        </w:rPr>
      </w:pPr>
    </w:p>
    <w:p w14:paraId="65013796" w14:textId="11ACA26D" w:rsidR="002D483A" w:rsidRPr="00EB0888" w:rsidRDefault="002D483A" w:rsidP="0049441F">
      <w:pPr>
        <w:rPr>
          <w:rFonts w:asciiTheme="minorHAnsi" w:hAnsiTheme="minorHAnsi" w:cstheme="minorHAnsi"/>
          <w:b/>
        </w:rPr>
      </w:pPr>
      <w:r w:rsidRPr="00EB0888">
        <w:rPr>
          <w:rFonts w:asciiTheme="minorHAnsi" w:hAnsiTheme="minorHAnsi" w:cstheme="minorHAnsi"/>
          <w:b/>
        </w:rPr>
        <w:t>Definitions:</w:t>
      </w:r>
    </w:p>
    <w:p w14:paraId="675588FD" w14:textId="77777777" w:rsidR="00514244" w:rsidRPr="00EB0888" w:rsidRDefault="00514244" w:rsidP="00F12EC1">
      <w:pPr>
        <w:rPr>
          <w:rFonts w:asciiTheme="minorHAnsi" w:hAnsiTheme="minorHAnsi" w:cstheme="minorHAnsi"/>
          <w:b/>
          <w:bCs/>
        </w:rPr>
      </w:pPr>
    </w:p>
    <w:p w14:paraId="54FC3E61" w14:textId="10D24644" w:rsidR="00F12EC1" w:rsidRPr="00EB0888" w:rsidRDefault="0002125A" w:rsidP="00F12EC1">
      <w:pPr>
        <w:rPr>
          <w:rFonts w:asciiTheme="minorHAnsi" w:hAnsiTheme="minorHAnsi" w:cstheme="minorHAnsi"/>
          <w:color w:val="222222"/>
          <w:shd w:val="clear" w:color="auto" w:fill="FFFFFF"/>
        </w:rPr>
      </w:pPr>
      <w:r w:rsidRPr="00EB0888">
        <w:rPr>
          <w:rFonts w:asciiTheme="minorHAnsi" w:hAnsiTheme="minorHAnsi" w:cstheme="minorHAnsi"/>
          <w:b/>
          <w:bCs/>
        </w:rPr>
        <w:t>EV</w:t>
      </w:r>
      <w:r w:rsidR="002D2442" w:rsidRPr="00EB0888">
        <w:rPr>
          <w:rFonts w:asciiTheme="minorHAnsi" w:hAnsiTheme="minorHAnsi" w:cstheme="minorHAnsi"/>
          <w:b/>
          <w:bCs/>
        </w:rPr>
        <w:t xml:space="preserve"> </w:t>
      </w:r>
      <w:r w:rsidRPr="00EB0888">
        <w:rPr>
          <w:rFonts w:asciiTheme="minorHAnsi" w:hAnsiTheme="minorHAnsi" w:cstheme="minorHAnsi"/>
          <w:b/>
          <w:bCs/>
        </w:rPr>
        <w:t xml:space="preserve">Capable: </w:t>
      </w:r>
      <w:r w:rsidR="00F12EC1" w:rsidRPr="00EB0888">
        <w:rPr>
          <w:rFonts w:asciiTheme="minorHAnsi" w:hAnsiTheme="minorHAnsi" w:cstheme="minorHAnsi"/>
          <w:color w:val="222222"/>
          <w:shd w:val="clear" w:color="auto" w:fill="FFFFFF"/>
        </w:rPr>
        <w:t xml:space="preserve"> A parking space linked to a listed electrical panel with sufficient capacity to provide at least 110/120 volts and 20 amperes to the parking space. Raceways linking the electrical panel and parking space only need to be installed in spaces that will be inaccessible in the future, either trenched underground or where penetrations to walls, floors, or other partitions </w:t>
      </w:r>
      <w:r w:rsidR="00F40419" w:rsidRPr="00EB0888">
        <w:rPr>
          <w:rFonts w:asciiTheme="minorHAnsi" w:hAnsiTheme="minorHAnsi" w:cstheme="minorHAnsi"/>
          <w:color w:val="222222"/>
          <w:shd w:val="clear" w:color="auto" w:fill="FFFFFF"/>
        </w:rPr>
        <w:t>would otherwise be required</w:t>
      </w:r>
      <w:r w:rsidR="00F12EC1" w:rsidRPr="00EB0888">
        <w:rPr>
          <w:rFonts w:asciiTheme="minorHAnsi" w:hAnsiTheme="minorHAnsi" w:cstheme="minorHAnsi"/>
          <w:color w:val="222222"/>
          <w:shd w:val="clear" w:color="auto" w:fill="FFFFFF"/>
        </w:rPr>
        <w:t xml:space="preserve"> for future installation of branch circuits. Raceways must be at least 1” in diameter and may be sized for multiple circuits as allowed by the California Electrical Code. The panel circuit directory shall identify the overcurrent protective device space(s) reserved for EV charging as “EV CAPABLE.” Construction documents shall </w:t>
      </w:r>
      <w:r w:rsidR="00E35CF3" w:rsidRPr="00EB0888">
        <w:rPr>
          <w:rFonts w:asciiTheme="minorHAnsi" w:hAnsiTheme="minorHAnsi" w:cstheme="minorHAnsi"/>
          <w:color w:val="222222"/>
          <w:shd w:val="clear" w:color="auto" w:fill="FFFFFF"/>
        </w:rPr>
        <w:t xml:space="preserve">indicate </w:t>
      </w:r>
      <w:r w:rsidR="00F12EC1" w:rsidRPr="00EB0888">
        <w:rPr>
          <w:rFonts w:asciiTheme="minorHAnsi" w:hAnsiTheme="minorHAnsi" w:cstheme="minorHAnsi"/>
          <w:color w:val="222222"/>
          <w:shd w:val="clear" w:color="auto" w:fill="FFFFFF"/>
        </w:rPr>
        <w:t>future completion of raceway from the panel to the parking space</w:t>
      </w:r>
      <w:r w:rsidR="00E35CF3" w:rsidRPr="00EB0888">
        <w:rPr>
          <w:rFonts w:asciiTheme="minorHAnsi" w:hAnsiTheme="minorHAnsi" w:cstheme="minorHAnsi"/>
          <w:color w:val="222222"/>
          <w:shd w:val="clear" w:color="auto" w:fill="FFFFFF"/>
        </w:rPr>
        <w:t xml:space="preserve">, via the installed inaccessible raceways. </w:t>
      </w:r>
    </w:p>
    <w:p w14:paraId="175A7D46" w14:textId="2E223DF9" w:rsidR="6A0ECC48" w:rsidRPr="00EB0888" w:rsidRDefault="6A0ECC48">
      <w:pPr>
        <w:rPr>
          <w:rFonts w:asciiTheme="minorHAnsi" w:eastAsia="Calibri" w:hAnsiTheme="minorHAnsi" w:cstheme="minorHAnsi"/>
        </w:rPr>
      </w:pPr>
    </w:p>
    <w:p w14:paraId="08715CE6" w14:textId="49235575" w:rsidR="00C7305A" w:rsidRPr="00EB0888" w:rsidRDefault="00C7305A" w:rsidP="0049441F">
      <w:pPr>
        <w:rPr>
          <w:rFonts w:asciiTheme="minorHAnsi" w:hAnsiTheme="minorHAnsi" w:cstheme="minorHAnsi"/>
        </w:rPr>
      </w:pPr>
      <w:r w:rsidRPr="00EB0888">
        <w:rPr>
          <w:rFonts w:asciiTheme="minorHAnsi" w:hAnsiTheme="minorHAnsi" w:cstheme="minorHAnsi"/>
          <w:b/>
          <w:bCs/>
        </w:rPr>
        <w:t xml:space="preserve">Level 1 EV Ready Circuit:  </w:t>
      </w:r>
      <w:r w:rsidRPr="00EB0888">
        <w:rPr>
          <w:rFonts w:asciiTheme="minorHAnsi" w:hAnsiTheme="minorHAnsi" w:cstheme="minorHAnsi"/>
        </w:rPr>
        <w:t>A parking space served by a complete electric circuit with a minimum of 110/120</w:t>
      </w:r>
      <w:r w:rsidR="00472274" w:rsidRPr="00EB0888">
        <w:rPr>
          <w:rFonts w:asciiTheme="minorHAnsi" w:hAnsiTheme="minorHAnsi" w:cstheme="minorHAnsi"/>
        </w:rPr>
        <w:t xml:space="preserve"> volt</w:t>
      </w:r>
      <w:r w:rsidRPr="00EB0888">
        <w:rPr>
          <w:rFonts w:asciiTheme="minorHAnsi" w:hAnsiTheme="minorHAnsi" w:cstheme="minorHAnsi"/>
        </w:rPr>
        <w:t>, 20</w:t>
      </w:r>
      <w:r w:rsidR="00024F8B" w:rsidRPr="00EB0888">
        <w:rPr>
          <w:rFonts w:asciiTheme="minorHAnsi" w:hAnsiTheme="minorHAnsi" w:cstheme="minorHAnsi"/>
        </w:rPr>
        <w:t>-</w:t>
      </w:r>
      <w:r w:rsidRPr="00EB0888">
        <w:rPr>
          <w:rFonts w:asciiTheme="minorHAnsi" w:hAnsiTheme="minorHAnsi" w:cstheme="minorHAnsi"/>
        </w:rPr>
        <w:t>amp</w:t>
      </w:r>
      <w:r w:rsidR="00472274" w:rsidRPr="00EB0888">
        <w:rPr>
          <w:rFonts w:asciiTheme="minorHAnsi" w:hAnsiTheme="minorHAnsi" w:cstheme="minorHAnsi"/>
        </w:rPr>
        <w:t>ere</w:t>
      </w:r>
      <w:r w:rsidRPr="00EB0888">
        <w:rPr>
          <w:rFonts w:asciiTheme="minorHAnsi" w:hAnsiTheme="minorHAnsi" w:cstheme="minorHAnsi"/>
        </w:rPr>
        <w:t xml:space="preserve"> capacity including electrical panel capacity, overprotection device,</w:t>
      </w:r>
      <w:r w:rsidR="00790046" w:rsidRPr="00EB0888">
        <w:rPr>
          <w:rFonts w:asciiTheme="minorHAnsi" w:hAnsiTheme="minorHAnsi" w:cstheme="minorHAnsi"/>
        </w:rPr>
        <w:t xml:space="preserve"> </w:t>
      </w:r>
      <w:r w:rsidR="00790046" w:rsidRPr="00EB0888">
        <w:rPr>
          <w:rFonts w:asciiTheme="minorHAnsi" w:hAnsiTheme="minorHAnsi" w:cstheme="minorHAnsi"/>
        </w:rPr>
        <w:lastRenderedPageBreak/>
        <w:t>a minimum</w:t>
      </w:r>
      <w:r w:rsidRPr="00EB0888">
        <w:rPr>
          <w:rFonts w:asciiTheme="minorHAnsi" w:hAnsiTheme="minorHAnsi" w:cstheme="minorHAnsi"/>
        </w:rPr>
        <w:t xml:space="preserve"> 1” </w:t>
      </w:r>
      <w:r w:rsidR="7CB1B38D" w:rsidRPr="00EB0888">
        <w:rPr>
          <w:rFonts w:asciiTheme="minorHAnsi" w:hAnsiTheme="minorHAnsi" w:cstheme="minorHAnsi"/>
        </w:rPr>
        <w:t xml:space="preserve">diameter </w:t>
      </w:r>
      <w:r w:rsidRPr="00EB0888">
        <w:rPr>
          <w:rFonts w:asciiTheme="minorHAnsi" w:hAnsiTheme="minorHAnsi" w:cstheme="minorHAnsi"/>
        </w:rPr>
        <w:t xml:space="preserve">raceway </w:t>
      </w:r>
      <w:r w:rsidR="0250BCD1" w:rsidRPr="00EB0888">
        <w:rPr>
          <w:rFonts w:asciiTheme="minorHAnsi" w:hAnsiTheme="minorHAnsi" w:cstheme="minorHAnsi"/>
        </w:rPr>
        <w:t>that may include</w:t>
      </w:r>
      <w:r w:rsidR="00790046" w:rsidRPr="00EB0888">
        <w:rPr>
          <w:rFonts w:asciiTheme="minorHAnsi" w:hAnsiTheme="minorHAnsi" w:cstheme="minorHAnsi"/>
        </w:rPr>
        <w:t xml:space="preserve"> </w:t>
      </w:r>
      <w:r w:rsidR="0250BCD1" w:rsidRPr="00EB0888">
        <w:rPr>
          <w:rFonts w:asciiTheme="minorHAnsi" w:hAnsiTheme="minorHAnsi" w:cstheme="minorHAnsi"/>
        </w:rPr>
        <w:t xml:space="preserve">multiple </w:t>
      </w:r>
      <w:r w:rsidR="00790046" w:rsidRPr="00EB0888">
        <w:rPr>
          <w:rFonts w:asciiTheme="minorHAnsi" w:hAnsiTheme="minorHAnsi" w:cstheme="minorHAnsi"/>
        </w:rPr>
        <w:t>circuits</w:t>
      </w:r>
      <w:r w:rsidR="006B3934" w:rsidRPr="00EB0888">
        <w:rPr>
          <w:rFonts w:asciiTheme="minorHAnsi" w:hAnsiTheme="minorHAnsi" w:cstheme="minorHAnsi"/>
        </w:rPr>
        <w:t xml:space="preserve"> as allowed by the California Electrical Code</w:t>
      </w:r>
      <w:r w:rsidRPr="00EB0888">
        <w:rPr>
          <w:rFonts w:asciiTheme="minorHAnsi" w:hAnsiTheme="minorHAnsi" w:cstheme="minorHAnsi"/>
        </w:rPr>
        <w:t xml:space="preserve">, wiring, and </w:t>
      </w:r>
      <w:r w:rsidR="00F06651" w:rsidRPr="00EB0888">
        <w:rPr>
          <w:rFonts w:asciiTheme="minorHAnsi" w:hAnsiTheme="minorHAnsi" w:cstheme="minorHAnsi"/>
        </w:rPr>
        <w:t xml:space="preserve">either a) a </w:t>
      </w:r>
      <w:r w:rsidRPr="00EB0888">
        <w:rPr>
          <w:rFonts w:asciiTheme="minorHAnsi" w:hAnsiTheme="minorHAnsi" w:cstheme="minorHAnsi"/>
        </w:rPr>
        <w:t xml:space="preserve">receptacle labelled “Electric Vehicle Outlet” </w:t>
      </w:r>
      <w:r w:rsidR="000270A2" w:rsidRPr="00EB0888">
        <w:rPr>
          <w:rFonts w:asciiTheme="minorHAnsi" w:hAnsiTheme="minorHAnsi" w:cstheme="minorHAnsi"/>
        </w:rPr>
        <w:t>with at least</w:t>
      </w:r>
      <w:r w:rsidR="00D66380" w:rsidRPr="00EB0888">
        <w:rPr>
          <w:rFonts w:asciiTheme="minorHAnsi" w:hAnsiTheme="minorHAnsi" w:cstheme="minorHAnsi"/>
        </w:rPr>
        <w:t xml:space="preserve"> a</w:t>
      </w:r>
      <w:r w:rsidR="000270A2" w:rsidRPr="00EB0888">
        <w:rPr>
          <w:rFonts w:asciiTheme="minorHAnsi" w:hAnsiTheme="minorHAnsi" w:cstheme="minorHAnsi"/>
        </w:rPr>
        <w:t xml:space="preserve"> ½” font </w:t>
      </w:r>
      <w:r w:rsidRPr="00EB0888">
        <w:rPr>
          <w:rFonts w:asciiTheme="minorHAnsi" w:hAnsiTheme="minorHAnsi" w:cstheme="minorHAnsi"/>
        </w:rPr>
        <w:t>adjacent to the parking space</w:t>
      </w:r>
      <w:r w:rsidR="00F06651" w:rsidRPr="00EB0888">
        <w:rPr>
          <w:rFonts w:asciiTheme="minorHAnsi" w:hAnsiTheme="minorHAnsi" w:cstheme="minorHAnsi"/>
        </w:rPr>
        <w:t>, or b) electric vehicle supply equipment (EVSE)</w:t>
      </w:r>
      <w:r w:rsidRPr="00EB0888">
        <w:rPr>
          <w:rFonts w:asciiTheme="minorHAnsi" w:hAnsiTheme="minorHAnsi" w:cstheme="minorHAnsi"/>
        </w:rPr>
        <w:t>.</w:t>
      </w:r>
    </w:p>
    <w:p w14:paraId="62F072DD" w14:textId="77777777" w:rsidR="00514244" w:rsidRPr="00EB0888" w:rsidRDefault="00514244" w:rsidP="0049441F">
      <w:pPr>
        <w:rPr>
          <w:rFonts w:asciiTheme="minorHAnsi" w:hAnsiTheme="minorHAnsi" w:cstheme="minorHAnsi"/>
        </w:rPr>
      </w:pPr>
    </w:p>
    <w:p w14:paraId="7F5C9DAB" w14:textId="01C68605" w:rsidR="00C7305A" w:rsidRPr="00EB0888" w:rsidRDefault="00C7305A">
      <w:pPr>
        <w:rPr>
          <w:rFonts w:asciiTheme="minorHAnsi" w:hAnsiTheme="minorHAnsi" w:cstheme="minorHAnsi"/>
        </w:rPr>
      </w:pPr>
      <w:r w:rsidRPr="00EB0888">
        <w:rPr>
          <w:rFonts w:asciiTheme="minorHAnsi" w:hAnsiTheme="minorHAnsi" w:cstheme="minorHAnsi"/>
          <w:b/>
          <w:bCs/>
        </w:rPr>
        <w:t>Level 2 EV</w:t>
      </w:r>
      <w:r w:rsidR="002D2442" w:rsidRPr="00EB0888">
        <w:rPr>
          <w:rFonts w:asciiTheme="minorHAnsi" w:hAnsiTheme="minorHAnsi" w:cstheme="minorHAnsi"/>
          <w:b/>
          <w:bCs/>
        </w:rPr>
        <w:t xml:space="preserve"> </w:t>
      </w:r>
      <w:r w:rsidRPr="00EB0888">
        <w:rPr>
          <w:rFonts w:asciiTheme="minorHAnsi" w:hAnsiTheme="minorHAnsi" w:cstheme="minorHAnsi"/>
          <w:b/>
          <w:bCs/>
        </w:rPr>
        <w:t xml:space="preserve">Ready Circuit: </w:t>
      </w:r>
      <w:r w:rsidRPr="00EB0888">
        <w:rPr>
          <w:rFonts w:asciiTheme="minorHAnsi" w:hAnsiTheme="minorHAnsi" w:cstheme="minorHAnsi"/>
        </w:rPr>
        <w:t>A parking space served by a complete electric circuit with 208/240</w:t>
      </w:r>
      <w:r w:rsidR="00472274" w:rsidRPr="00EB0888">
        <w:rPr>
          <w:rFonts w:asciiTheme="minorHAnsi" w:hAnsiTheme="minorHAnsi" w:cstheme="minorHAnsi"/>
        </w:rPr>
        <w:t xml:space="preserve"> volt</w:t>
      </w:r>
      <w:r w:rsidRPr="00EB0888">
        <w:rPr>
          <w:rFonts w:asciiTheme="minorHAnsi" w:hAnsiTheme="minorHAnsi" w:cstheme="minorHAnsi"/>
        </w:rPr>
        <w:t>, 40-amp</w:t>
      </w:r>
      <w:r w:rsidR="00472274" w:rsidRPr="00EB0888">
        <w:rPr>
          <w:rFonts w:asciiTheme="minorHAnsi" w:hAnsiTheme="minorHAnsi" w:cstheme="minorHAnsi"/>
        </w:rPr>
        <w:t>ere</w:t>
      </w:r>
      <w:r w:rsidRPr="00EB0888">
        <w:rPr>
          <w:rFonts w:asciiTheme="minorHAnsi" w:hAnsiTheme="minorHAnsi" w:cstheme="minorHAnsi"/>
        </w:rPr>
        <w:t xml:space="preserve"> capacity including electrical panel capacity, overprotection device</w:t>
      </w:r>
      <w:r w:rsidR="006B3934" w:rsidRPr="00EB0888">
        <w:rPr>
          <w:rFonts w:asciiTheme="minorHAnsi" w:hAnsiTheme="minorHAnsi" w:cstheme="minorHAnsi"/>
        </w:rPr>
        <w:t xml:space="preserve">, </w:t>
      </w:r>
      <w:r w:rsidR="14A89C90" w:rsidRPr="00EB0888">
        <w:rPr>
          <w:rFonts w:asciiTheme="minorHAnsi" w:hAnsiTheme="minorHAnsi" w:cstheme="minorHAnsi"/>
        </w:rPr>
        <w:t>a minimum 1” diameter raceway that may include multiple circuits as allowed by the California Electrical Code</w:t>
      </w:r>
      <w:r w:rsidR="006B3934" w:rsidRPr="00EB0888">
        <w:rPr>
          <w:rFonts w:asciiTheme="minorHAnsi" w:hAnsiTheme="minorHAnsi" w:cstheme="minorHAnsi"/>
        </w:rPr>
        <w:t xml:space="preserve">, </w:t>
      </w:r>
      <w:r w:rsidRPr="00EB0888">
        <w:rPr>
          <w:rFonts w:asciiTheme="minorHAnsi" w:hAnsiTheme="minorHAnsi" w:cstheme="minorHAnsi"/>
        </w:rPr>
        <w:t xml:space="preserve">wiring, and </w:t>
      </w:r>
      <w:r w:rsidR="00673259" w:rsidRPr="00EB0888">
        <w:rPr>
          <w:rFonts w:asciiTheme="minorHAnsi" w:hAnsiTheme="minorHAnsi" w:cstheme="minorHAnsi"/>
        </w:rPr>
        <w:t xml:space="preserve">either a) </w:t>
      </w:r>
      <w:r w:rsidR="009C3CDB" w:rsidRPr="00EB0888">
        <w:rPr>
          <w:rFonts w:asciiTheme="minorHAnsi" w:hAnsiTheme="minorHAnsi" w:cstheme="minorHAnsi"/>
        </w:rPr>
        <w:t>a</w:t>
      </w:r>
      <w:r w:rsidRPr="00EB0888">
        <w:rPr>
          <w:rFonts w:asciiTheme="minorHAnsi" w:hAnsiTheme="minorHAnsi" w:cstheme="minorHAnsi"/>
        </w:rPr>
        <w:t xml:space="preserve"> receptacle labelled “Electric Vehicle Outlet”</w:t>
      </w:r>
      <w:r w:rsidR="000270A2" w:rsidRPr="00EB0888">
        <w:rPr>
          <w:rFonts w:asciiTheme="minorHAnsi" w:hAnsiTheme="minorHAnsi" w:cstheme="minorHAnsi"/>
        </w:rPr>
        <w:t xml:space="preserve"> with at least </w:t>
      </w:r>
      <w:r w:rsidR="00D66380" w:rsidRPr="00EB0888">
        <w:rPr>
          <w:rFonts w:asciiTheme="minorHAnsi" w:hAnsiTheme="minorHAnsi" w:cstheme="minorHAnsi"/>
        </w:rPr>
        <w:t xml:space="preserve">a </w:t>
      </w:r>
      <w:r w:rsidR="000270A2" w:rsidRPr="00EB0888">
        <w:rPr>
          <w:rFonts w:asciiTheme="minorHAnsi" w:hAnsiTheme="minorHAnsi" w:cstheme="minorHAnsi"/>
        </w:rPr>
        <w:t xml:space="preserve">½” font </w:t>
      </w:r>
      <w:r w:rsidRPr="00EB0888">
        <w:rPr>
          <w:rFonts w:asciiTheme="minorHAnsi" w:hAnsiTheme="minorHAnsi" w:cstheme="minorHAnsi"/>
        </w:rPr>
        <w:t>adjacent to the parking space</w:t>
      </w:r>
      <w:r w:rsidR="00673259" w:rsidRPr="00EB0888">
        <w:rPr>
          <w:rFonts w:asciiTheme="minorHAnsi" w:hAnsiTheme="minorHAnsi" w:cstheme="minorHAnsi"/>
        </w:rPr>
        <w:t>, or b) electric vehicle supply equipment (EVSE) with a minimum output of 30 amperes</w:t>
      </w:r>
      <w:r w:rsidRPr="00EB0888">
        <w:rPr>
          <w:rFonts w:asciiTheme="minorHAnsi" w:hAnsiTheme="minorHAnsi" w:cstheme="minorHAnsi"/>
        </w:rPr>
        <w:t>.</w:t>
      </w:r>
      <w:r w:rsidR="009E5701" w:rsidRPr="00EB0888">
        <w:rPr>
          <w:rFonts w:asciiTheme="minorHAnsi" w:hAnsiTheme="minorHAnsi" w:cstheme="minorHAnsi"/>
        </w:rPr>
        <w:t xml:space="preserve"> </w:t>
      </w:r>
    </w:p>
    <w:p w14:paraId="1A7217DF" w14:textId="77777777" w:rsidR="00514244" w:rsidRPr="00EB0888" w:rsidRDefault="00514244" w:rsidP="002D483A">
      <w:pPr>
        <w:rPr>
          <w:rFonts w:asciiTheme="minorHAnsi" w:hAnsiTheme="minorHAnsi" w:cstheme="minorHAnsi"/>
          <w:b/>
          <w:bCs/>
        </w:rPr>
      </w:pPr>
    </w:p>
    <w:p w14:paraId="19DDEF58" w14:textId="745A6AF9" w:rsidR="00E5218C" w:rsidRPr="00EB0888" w:rsidRDefault="00E5218C" w:rsidP="002D483A">
      <w:pPr>
        <w:rPr>
          <w:rFonts w:asciiTheme="minorHAnsi" w:hAnsiTheme="minorHAnsi" w:cstheme="minorHAnsi"/>
        </w:rPr>
      </w:pPr>
      <w:r w:rsidRPr="00EB0888">
        <w:rPr>
          <w:rFonts w:asciiTheme="minorHAnsi" w:hAnsiTheme="minorHAnsi" w:cstheme="minorHAnsi"/>
          <w:b/>
          <w:bCs/>
        </w:rPr>
        <w:t xml:space="preserve">Electric Vehicle </w:t>
      </w:r>
      <w:r w:rsidR="00512DD0" w:rsidRPr="00EB0888">
        <w:rPr>
          <w:rFonts w:asciiTheme="minorHAnsi" w:hAnsiTheme="minorHAnsi" w:cstheme="minorHAnsi"/>
          <w:b/>
          <w:bCs/>
        </w:rPr>
        <w:t>Charging Station</w:t>
      </w:r>
      <w:r w:rsidRPr="00EB0888">
        <w:rPr>
          <w:rFonts w:asciiTheme="minorHAnsi" w:hAnsiTheme="minorHAnsi" w:cstheme="minorHAnsi"/>
          <w:b/>
          <w:bCs/>
        </w:rPr>
        <w:t xml:space="preserve"> (</w:t>
      </w:r>
      <w:r w:rsidR="006D0A94" w:rsidRPr="00EB0888">
        <w:rPr>
          <w:rFonts w:asciiTheme="minorHAnsi" w:hAnsiTheme="minorHAnsi" w:cstheme="minorHAnsi"/>
          <w:b/>
          <w:bCs/>
        </w:rPr>
        <w:t>EV</w:t>
      </w:r>
      <w:r w:rsidR="00512DD0" w:rsidRPr="00EB0888">
        <w:rPr>
          <w:rFonts w:asciiTheme="minorHAnsi" w:hAnsiTheme="minorHAnsi" w:cstheme="minorHAnsi"/>
          <w:b/>
          <w:bCs/>
        </w:rPr>
        <w:t>CS</w:t>
      </w:r>
      <w:r w:rsidRPr="00EB0888">
        <w:rPr>
          <w:rFonts w:asciiTheme="minorHAnsi" w:hAnsiTheme="minorHAnsi" w:cstheme="minorHAnsi"/>
          <w:b/>
          <w:bCs/>
        </w:rPr>
        <w:t>)</w:t>
      </w:r>
      <w:r w:rsidR="006D0A94" w:rsidRPr="00EB0888">
        <w:rPr>
          <w:rFonts w:asciiTheme="minorHAnsi" w:hAnsiTheme="minorHAnsi" w:cstheme="minorHAnsi"/>
          <w:b/>
          <w:bCs/>
        </w:rPr>
        <w:t>:</w:t>
      </w:r>
      <w:r w:rsidR="00794F2F" w:rsidRPr="00EB0888">
        <w:rPr>
          <w:rFonts w:asciiTheme="minorHAnsi" w:hAnsiTheme="minorHAnsi" w:cstheme="minorHAnsi"/>
          <w:b/>
          <w:bCs/>
        </w:rPr>
        <w:t xml:space="preserve"> </w:t>
      </w:r>
      <w:r w:rsidR="00EF391A" w:rsidRPr="00EB0888">
        <w:rPr>
          <w:rFonts w:asciiTheme="minorHAnsi" w:hAnsiTheme="minorHAnsi" w:cstheme="minorHAnsi"/>
        </w:rPr>
        <w:t>A</w:t>
      </w:r>
      <w:r w:rsidRPr="00EB0888">
        <w:rPr>
          <w:rFonts w:asciiTheme="minorHAnsi" w:hAnsiTheme="minorHAnsi" w:cstheme="minorHAnsi"/>
        </w:rPr>
        <w:t xml:space="preserve"> parking space that includes installation of electric vehicle </w:t>
      </w:r>
      <w:r w:rsidR="00830DDF" w:rsidRPr="00EB0888">
        <w:rPr>
          <w:rFonts w:asciiTheme="minorHAnsi" w:hAnsiTheme="minorHAnsi" w:cstheme="minorHAnsi"/>
        </w:rPr>
        <w:t xml:space="preserve">supply </w:t>
      </w:r>
      <w:r w:rsidR="008F12B0" w:rsidRPr="00EB0888">
        <w:rPr>
          <w:rFonts w:asciiTheme="minorHAnsi" w:hAnsiTheme="minorHAnsi" w:cstheme="minorHAnsi"/>
        </w:rPr>
        <w:t>equipment</w:t>
      </w:r>
      <w:r w:rsidR="00514244" w:rsidRPr="00EB0888">
        <w:rPr>
          <w:rFonts w:asciiTheme="minorHAnsi" w:hAnsiTheme="minorHAnsi" w:cstheme="minorHAnsi"/>
        </w:rPr>
        <w:t xml:space="preserve"> (EVSE)</w:t>
      </w:r>
      <w:r w:rsidR="00A5789C" w:rsidRPr="00EB0888">
        <w:rPr>
          <w:rFonts w:asciiTheme="minorHAnsi" w:hAnsiTheme="minorHAnsi" w:cstheme="minorHAnsi"/>
        </w:rPr>
        <w:t xml:space="preserve"> with a minimum output o</w:t>
      </w:r>
      <w:r w:rsidR="00674A63" w:rsidRPr="00EB0888">
        <w:rPr>
          <w:rFonts w:asciiTheme="minorHAnsi" w:hAnsiTheme="minorHAnsi" w:cstheme="minorHAnsi"/>
        </w:rPr>
        <w:t>f</w:t>
      </w:r>
      <w:r w:rsidR="00A5789C" w:rsidRPr="00EB0888">
        <w:rPr>
          <w:rFonts w:asciiTheme="minorHAnsi" w:hAnsiTheme="minorHAnsi" w:cstheme="minorHAnsi"/>
        </w:rPr>
        <w:t xml:space="preserve"> 30 amperes </w:t>
      </w:r>
      <w:r w:rsidR="00EF2A80" w:rsidRPr="00EB0888">
        <w:rPr>
          <w:rFonts w:asciiTheme="minorHAnsi" w:hAnsiTheme="minorHAnsi" w:cstheme="minorHAnsi"/>
        </w:rPr>
        <w:t xml:space="preserve">connected to a </w:t>
      </w:r>
      <w:r w:rsidR="00A5789C" w:rsidRPr="00EB0888">
        <w:rPr>
          <w:rFonts w:asciiTheme="minorHAnsi" w:hAnsiTheme="minorHAnsi" w:cstheme="minorHAnsi"/>
        </w:rPr>
        <w:t xml:space="preserve">Level 2 </w:t>
      </w:r>
      <w:r w:rsidR="6C014365" w:rsidRPr="00EB0888">
        <w:rPr>
          <w:rFonts w:asciiTheme="minorHAnsi" w:hAnsiTheme="minorHAnsi" w:cstheme="minorHAnsi"/>
        </w:rPr>
        <w:t>EV Ready</w:t>
      </w:r>
      <w:r w:rsidR="00EF2A80" w:rsidRPr="00EB0888">
        <w:rPr>
          <w:rFonts w:asciiTheme="minorHAnsi" w:hAnsiTheme="minorHAnsi" w:cstheme="minorHAnsi"/>
        </w:rPr>
        <w:t xml:space="preserve"> Circuit</w:t>
      </w:r>
      <w:r w:rsidR="6C014365" w:rsidRPr="00EB0888">
        <w:rPr>
          <w:rFonts w:asciiTheme="minorHAnsi" w:hAnsiTheme="minorHAnsi" w:cstheme="minorHAnsi"/>
        </w:rPr>
        <w:t>.</w:t>
      </w:r>
      <w:r w:rsidR="009E5701" w:rsidRPr="00EB0888">
        <w:rPr>
          <w:rFonts w:asciiTheme="minorHAnsi" w:hAnsiTheme="minorHAnsi" w:cstheme="minorHAnsi"/>
        </w:rPr>
        <w:t xml:space="preserve"> EVCS installation may be used to satisfy </w:t>
      </w:r>
      <w:r w:rsidR="006720E2" w:rsidRPr="00EB0888">
        <w:rPr>
          <w:rFonts w:asciiTheme="minorHAnsi" w:hAnsiTheme="minorHAnsi" w:cstheme="minorHAnsi"/>
        </w:rPr>
        <w:t>a</w:t>
      </w:r>
      <w:r w:rsidR="009E5701" w:rsidRPr="00EB0888">
        <w:rPr>
          <w:rFonts w:asciiTheme="minorHAnsi" w:hAnsiTheme="minorHAnsi" w:cstheme="minorHAnsi"/>
        </w:rPr>
        <w:t xml:space="preserve"> Level 2 EV Ready Circuit requirement.</w:t>
      </w:r>
    </w:p>
    <w:p w14:paraId="6840C5EF" w14:textId="7FB888F9" w:rsidR="007D54E2" w:rsidRPr="00EB0888" w:rsidRDefault="007D54E2" w:rsidP="002D483A">
      <w:pPr>
        <w:rPr>
          <w:rFonts w:asciiTheme="minorHAnsi" w:hAnsiTheme="minorHAnsi" w:cstheme="minorHAnsi"/>
        </w:rPr>
      </w:pPr>
    </w:p>
    <w:p w14:paraId="656BC625" w14:textId="77777777" w:rsidR="009E5701" w:rsidRPr="00EB0888" w:rsidRDefault="009E5701" w:rsidP="002D483A">
      <w:pPr>
        <w:rPr>
          <w:rFonts w:asciiTheme="minorHAnsi" w:hAnsiTheme="minorHAnsi" w:cstheme="minorHAnsi"/>
        </w:rPr>
      </w:pPr>
    </w:p>
    <w:p w14:paraId="57F5E921" w14:textId="3FAD327B" w:rsidR="00E5218C" w:rsidRPr="00EB0888" w:rsidRDefault="00A5789C" w:rsidP="00E5218C">
      <w:pPr>
        <w:jc w:val="center"/>
        <w:rPr>
          <w:rFonts w:asciiTheme="minorHAnsi" w:hAnsiTheme="minorHAnsi" w:cstheme="minorHAnsi"/>
          <w:b/>
        </w:rPr>
      </w:pPr>
      <w:r w:rsidRPr="00EB0888">
        <w:rPr>
          <w:rFonts w:asciiTheme="minorHAnsi" w:hAnsiTheme="minorHAnsi" w:cstheme="minorHAnsi"/>
          <w:b/>
        </w:rPr>
        <w:t xml:space="preserve">SECTION </w:t>
      </w:r>
      <w:r w:rsidR="00E5218C" w:rsidRPr="00EB0888">
        <w:rPr>
          <w:rFonts w:asciiTheme="minorHAnsi" w:hAnsiTheme="minorHAnsi" w:cstheme="minorHAnsi"/>
          <w:b/>
        </w:rPr>
        <w:t>4</w:t>
      </w:r>
    </w:p>
    <w:p w14:paraId="0FFD8643" w14:textId="34143E03" w:rsidR="00E5218C" w:rsidRPr="00EB0888" w:rsidRDefault="00E5218C" w:rsidP="00E5218C">
      <w:pPr>
        <w:jc w:val="center"/>
        <w:rPr>
          <w:rFonts w:asciiTheme="minorHAnsi" w:hAnsiTheme="minorHAnsi" w:cstheme="minorHAnsi"/>
          <w:b/>
        </w:rPr>
      </w:pPr>
      <w:r w:rsidRPr="00EB0888">
        <w:rPr>
          <w:rFonts w:asciiTheme="minorHAnsi" w:hAnsiTheme="minorHAnsi" w:cstheme="minorHAnsi"/>
          <w:b/>
        </w:rPr>
        <w:t>RESIDENTIAL MANDATORY MEASURES</w:t>
      </w:r>
    </w:p>
    <w:p w14:paraId="079BD149" w14:textId="77777777" w:rsidR="009E5701" w:rsidRPr="00EB0888" w:rsidRDefault="009E5701" w:rsidP="00E5218C">
      <w:pPr>
        <w:jc w:val="center"/>
        <w:rPr>
          <w:rFonts w:asciiTheme="minorHAnsi" w:hAnsiTheme="minorHAnsi" w:cstheme="minorHAnsi"/>
          <w:b/>
        </w:rPr>
      </w:pPr>
    </w:p>
    <w:p w14:paraId="028D1E26" w14:textId="18448A2F" w:rsidR="006B1EDA" w:rsidRPr="00EB0888" w:rsidRDefault="006B1EDA" w:rsidP="006B1EDA">
      <w:pPr>
        <w:rPr>
          <w:rFonts w:asciiTheme="minorHAnsi" w:hAnsiTheme="minorHAnsi" w:cstheme="minorHAnsi"/>
          <w:strike/>
        </w:rPr>
      </w:pPr>
      <w:r w:rsidRPr="00EB0888">
        <w:rPr>
          <w:rFonts w:asciiTheme="minorHAnsi" w:hAnsiTheme="minorHAnsi" w:cstheme="minorHAnsi"/>
          <w:b/>
        </w:rPr>
        <w:t>4.106.4</w:t>
      </w:r>
      <w:r w:rsidRPr="00EB0888">
        <w:rPr>
          <w:rFonts w:asciiTheme="minorHAnsi" w:hAnsiTheme="minorHAnsi" w:cstheme="minorHAnsi"/>
          <w:b/>
        </w:rPr>
        <w:tab/>
        <w:t>Electric vehicle (EV) charging for new construction</w:t>
      </w:r>
      <w:r w:rsidRPr="00EB0888">
        <w:rPr>
          <w:rFonts w:asciiTheme="minorHAnsi" w:hAnsiTheme="minorHAnsi" w:cstheme="minorHAnsi"/>
        </w:rPr>
        <w:t>. New construction shall comply with Sections 4.106.4.1 and 4.106.4.2 to facilitate future installation and use of EV chargers.</w:t>
      </w:r>
    </w:p>
    <w:p w14:paraId="7ACA3A32" w14:textId="77A0DC7E" w:rsidR="00A35DF5" w:rsidRPr="00EB0888" w:rsidRDefault="006B1EDA" w:rsidP="004262E7">
      <w:pPr>
        <w:ind w:left="720"/>
        <w:rPr>
          <w:rFonts w:asciiTheme="minorHAnsi" w:hAnsiTheme="minorHAnsi" w:cstheme="minorHAnsi"/>
        </w:rPr>
      </w:pPr>
      <w:r w:rsidRPr="00EB0888">
        <w:rPr>
          <w:rFonts w:asciiTheme="minorHAnsi" w:hAnsiTheme="minorHAnsi" w:cstheme="minorHAnsi"/>
          <w:b/>
        </w:rPr>
        <w:t xml:space="preserve">Exceptions: </w:t>
      </w:r>
    </w:p>
    <w:p w14:paraId="389315BA" w14:textId="244ECE86" w:rsidR="0070550A" w:rsidRPr="00EB0888" w:rsidRDefault="009A51DB" w:rsidP="00184804">
      <w:pPr>
        <w:pStyle w:val="ListParagraph"/>
        <w:numPr>
          <w:ilvl w:val="0"/>
          <w:numId w:val="21"/>
        </w:numPr>
        <w:contextualSpacing w:val="0"/>
        <w:rPr>
          <w:rFonts w:cstheme="minorHAnsi"/>
          <w:sz w:val="24"/>
          <w:szCs w:val="24"/>
        </w:rPr>
      </w:pPr>
      <w:r w:rsidRPr="00EB0888">
        <w:rPr>
          <w:rFonts w:cstheme="minorHAnsi"/>
          <w:sz w:val="24"/>
          <w:szCs w:val="24"/>
        </w:rPr>
        <w:t>Where there is no commercial power supply</w:t>
      </w:r>
      <w:r w:rsidR="00AA20B3" w:rsidRPr="00EB0888">
        <w:rPr>
          <w:rFonts w:cstheme="minorHAnsi"/>
          <w:sz w:val="24"/>
          <w:szCs w:val="24"/>
        </w:rPr>
        <w:t>.</w:t>
      </w:r>
    </w:p>
    <w:p w14:paraId="09996E73" w14:textId="55120F30" w:rsidR="00880EB4" w:rsidRPr="00EB0888" w:rsidRDefault="001E654B" w:rsidP="00184804">
      <w:pPr>
        <w:pStyle w:val="ListParagraph"/>
        <w:numPr>
          <w:ilvl w:val="0"/>
          <w:numId w:val="21"/>
        </w:numPr>
        <w:contextualSpacing w:val="0"/>
        <w:rPr>
          <w:rFonts w:cstheme="minorHAnsi"/>
          <w:sz w:val="24"/>
          <w:szCs w:val="24"/>
        </w:rPr>
      </w:pPr>
      <w:r w:rsidRPr="00EB0888">
        <w:rPr>
          <w:rFonts w:cstheme="minorHAnsi"/>
          <w:sz w:val="24"/>
          <w:szCs w:val="24"/>
        </w:rPr>
        <w:t>Accessory Dwelling Units (ADU) and Junior Accessory Dwelling Units (JADU) without additional parking facilities</w:t>
      </w:r>
      <w:r w:rsidR="00EF391A" w:rsidRPr="00EB0888">
        <w:rPr>
          <w:rFonts w:cstheme="minorHAnsi"/>
          <w:sz w:val="24"/>
          <w:szCs w:val="24"/>
        </w:rPr>
        <w:t xml:space="preserve">, unless the electrical panel is </w:t>
      </w:r>
      <w:r w:rsidR="00024F8B" w:rsidRPr="00EB0888">
        <w:rPr>
          <w:rFonts w:cstheme="minorHAnsi"/>
          <w:sz w:val="24"/>
          <w:szCs w:val="24"/>
        </w:rPr>
        <w:t>upgraded,</w:t>
      </w:r>
      <w:r w:rsidR="003F7799" w:rsidRPr="00EB0888">
        <w:rPr>
          <w:rFonts w:cstheme="minorHAnsi"/>
          <w:sz w:val="24"/>
          <w:szCs w:val="24"/>
        </w:rPr>
        <w:t xml:space="preserve"> or a new panel is installed</w:t>
      </w:r>
      <w:r w:rsidR="00830DDF" w:rsidRPr="00EB0888">
        <w:rPr>
          <w:rFonts w:cstheme="minorHAnsi"/>
          <w:sz w:val="24"/>
          <w:szCs w:val="24"/>
        </w:rPr>
        <w:t xml:space="preserve"> in which case only the electrical capacity requirements apply</w:t>
      </w:r>
      <w:r w:rsidR="00EF391A" w:rsidRPr="00EB0888">
        <w:rPr>
          <w:rFonts w:cstheme="minorHAnsi"/>
          <w:sz w:val="24"/>
          <w:szCs w:val="24"/>
        </w:rPr>
        <w:t>.</w:t>
      </w:r>
    </w:p>
    <w:p w14:paraId="5E2EDCB6" w14:textId="77777777" w:rsidR="007122FD" w:rsidRPr="00EB0888" w:rsidRDefault="006B1EDA" w:rsidP="004262E7">
      <w:pPr>
        <w:ind w:left="720"/>
        <w:rPr>
          <w:rFonts w:asciiTheme="minorHAnsi" w:hAnsiTheme="minorHAnsi" w:cstheme="minorHAnsi"/>
        </w:rPr>
      </w:pPr>
      <w:r w:rsidRPr="00EB0888">
        <w:rPr>
          <w:rFonts w:asciiTheme="minorHAnsi" w:hAnsiTheme="minorHAnsi" w:cstheme="minorHAnsi"/>
          <w:b/>
        </w:rPr>
        <w:t>4.106.4.1</w:t>
      </w:r>
      <w:r w:rsidRPr="00EB0888">
        <w:rPr>
          <w:rFonts w:asciiTheme="minorHAnsi" w:hAnsiTheme="minorHAnsi" w:cstheme="minorHAnsi"/>
          <w:b/>
        </w:rPr>
        <w:tab/>
        <w:t>New one- and two-family dwellings and town- houses with attached private garages.</w:t>
      </w:r>
      <w:r w:rsidRPr="00EB0888">
        <w:rPr>
          <w:rFonts w:asciiTheme="minorHAnsi" w:hAnsiTheme="minorHAnsi" w:cstheme="minorHAnsi"/>
        </w:rPr>
        <w:t xml:space="preserve"> </w:t>
      </w:r>
    </w:p>
    <w:p w14:paraId="6EF02B69" w14:textId="57287820" w:rsidR="00C7305A" w:rsidRPr="00EB0888" w:rsidRDefault="007122FD" w:rsidP="004262E7">
      <w:pPr>
        <w:ind w:left="720"/>
        <w:rPr>
          <w:rFonts w:asciiTheme="minorHAnsi" w:hAnsiTheme="minorHAnsi" w:cstheme="minorHAnsi"/>
        </w:rPr>
      </w:pPr>
      <w:r w:rsidRPr="00EB0888">
        <w:rPr>
          <w:rFonts w:asciiTheme="minorHAnsi" w:hAnsiTheme="minorHAnsi" w:cstheme="minorHAnsi"/>
        </w:rPr>
        <w:t>For each dwelling unit, install a</w:t>
      </w:r>
      <w:r w:rsidR="00EB2003" w:rsidRPr="00EB0888">
        <w:rPr>
          <w:rFonts w:asciiTheme="minorHAnsi" w:hAnsiTheme="minorHAnsi" w:cstheme="minorHAnsi"/>
        </w:rPr>
        <w:t xml:space="preserve"> </w:t>
      </w:r>
      <w:r w:rsidR="00616E75" w:rsidRPr="00EB0888">
        <w:rPr>
          <w:rFonts w:asciiTheme="minorHAnsi" w:hAnsiTheme="minorHAnsi" w:cstheme="minorHAnsi"/>
        </w:rPr>
        <w:t xml:space="preserve">Level 2 EV </w:t>
      </w:r>
      <w:r w:rsidR="006D0A94" w:rsidRPr="00EB0888">
        <w:rPr>
          <w:rFonts w:asciiTheme="minorHAnsi" w:hAnsiTheme="minorHAnsi" w:cstheme="minorHAnsi"/>
        </w:rPr>
        <w:t>R</w:t>
      </w:r>
      <w:r w:rsidR="00616E75" w:rsidRPr="00EB0888">
        <w:rPr>
          <w:rFonts w:asciiTheme="minorHAnsi" w:hAnsiTheme="minorHAnsi" w:cstheme="minorHAnsi"/>
        </w:rPr>
        <w:t xml:space="preserve">eady </w:t>
      </w:r>
      <w:r w:rsidR="00830DDF" w:rsidRPr="00EB0888">
        <w:rPr>
          <w:rFonts w:asciiTheme="minorHAnsi" w:hAnsiTheme="minorHAnsi" w:cstheme="minorHAnsi"/>
        </w:rPr>
        <w:t xml:space="preserve">Circuit </w:t>
      </w:r>
      <w:r w:rsidR="00616E75" w:rsidRPr="00EB0888">
        <w:rPr>
          <w:rFonts w:asciiTheme="minorHAnsi" w:hAnsiTheme="minorHAnsi" w:cstheme="minorHAnsi"/>
        </w:rPr>
        <w:t xml:space="preserve">and </w:t>
      </w:r>
      <w:r w:rsidR="00E63EA3" w:rsidRPr="00EB0888">
        <w:rPr>
          <w:rFonts w:asciiTheme="minorHAnsi" w:hAnsiTheme="minorHAnsi" w:cstheme="minorHAnsi"/>
        </w:rPr>
        <w:t>L</w:t>
      </w:r>
      <w:r w:rsidR="00616E75" w:rsidRPr="00EB0888">
        <w:rPr>
          <w:rFonts w:asciiTheme="minorHAnsi" w:hAnsiTheme="minorHAnsi" w:cstheme="minorHAnsi"/>
        </w:rPr>
        <w:t xml:space="preserve">evel 1 EV </w:t>
      </w:r>
      <w:r w:rsidR="006D0A94" w:rsidRPr="00EB0888">
        <w:rPr>
          <w:rFonts w:asciiTheme="minorHAnsi" w:hAnsiTheme="minorHAnsi" w:cstheme="minorHAnsi"/>
        </w:rPr>
        <w:t xml:space="preserve">Ready </w:t>
      </w:r>
      <w:r w:rsidR="00830DDF" w:rsidRPr="00EB0888">
        <w:rPr>
          <w:rFonts w:asciiTheme="minorHAnsi" w:hAnsiTheme="minorHAnsi" w:cstheme="minorHAnsi"/>
        </w:rPr>
        <w:t>C</w:t>
      </w:r>
      <w:r w:rsidR="006D0A94" w:rsidRPr="00EB0888">
        <w:rPr>
          <w:rFonts w:asciiTheme="minorHAnsi" w:hAnsiTheme="minorHAnsi" w:cstheme="minorHAnsi"/>
        </w:rPr>
        <w:t>ircuit</w:t>
      </w:r>
      <w:r w:rsidR="0016588A" w:rsidRPr="00EB0888">
        <w:rPr>
          <w:rFonts w:asciiTheme="minorHAnsi" w:hAnsiTheme="minorHAnsi" w:cstheme="minorHAnsi"/>
        </w:rPr>
        <w:t>.</w:t>
      </w:r>
    </w:p>
    <w:p w14:paraId="46953CF0" w14:textId="77777777" w:rsidR="00F40419" w:rsidRPr="00EB0888" w:rsidRDefault="00F40419" w:rsidP="004262E7">
      <w:pPr>
        <w:ind w:left="720"/>
        <w:rPr>
          <w:rFonts w:asciiTheme="minorHAnsi" w:hAnsiTheme="minorHAnsi" w:cstheme="minorHAnsi"/>
          <w:strike/>
        </w:rPr>
      </w:pPr>
    </w:p>
    <w:p w14:paraId="1D0B6260" w14:textId="3C653FFE" w:rsidR="006B1EDA" w:rsidRPr="00EB0888" w:rsidRDefault="00320E25" w:rsidP="001F626B">
      <w:pPr>
        <w:ind w:left="1440"/>
        <w:rPr>
          <w:rFonts w:asciiTheme="minorHAnsi" w:hAnsiTheme="minorHAnsi" w:cstheme="minorHAnsi"/>
          <w:strike/>
        </w:rPr>
      </w:pPr>
      <w:r w:rsidRPr="00EB0888">
        <w:rPr>
          <w:rFonts w:asciiTheme="minorHAnsi" w:hAnsiTheme="minorHAnsi" w:cstheme="minorHAnsi"/>
          <w:b/>
        </w:rPr>
        <w:t xml:space="preserve">Exception: </w:t>
      </w:r>
      <w:r w:rsidRPr="00EB0888">
        <w:rPr>
          <w:rFonts w:asciiTheme="minorHAnsi" w:hAnsiTheme="minorHAnsi" w:cstheme="minorHAnsi"/>
        </w:rPr>
        <w:t xml:space="preserve">For each dwelling unit with only one parking space, install a Level 2 EV Ready </w:t>
      </w:r>
      <w:r w:rsidR="00D25975" w:rsidRPr="00EB0888">
        <w:rPr>
          <w:rFonts w:asciiTheme="minorHAnsi" w:hAnsiTheme="minorHAnsi" w:cstheme="minorHAnsi"/>
        </w:rPr>
        <w:t>C</w:t>
      </w:r>
      <w:r w:rsidRPr="00EB0888">
        <w:rPr>
          <w:rFonts w:asciiTheme="minorHAnsi" w:hAnsiTheme="minorHAnsi" w:cstheme="minorHAnsi"/>
        </w:rPr>
        <w:t>ircuit.</w:t>
      </w:r>
      <w:r w:rsidR="00C7305A" w:rsidRPr="00EB0888">
        <w:rPr>
          <w:rFonts w:asciiTheme="minorHAnsi" w:hAnsiTheme="minorHAnsi" w:cstheme="minorHAnsi"/>
          <w:strike/>
        </w:rPr>
        <w:t xml:space="preserve"> </w:t>
      </w:r>
    </w:p>
    <w:p w14:paraId="1354BD61" w14:textId="77777777" w:rsidR="002C4783" w:rsidRPr="00EB0888" w:rsidRDefault="002C4783" w:rsidP="001F626B">
      <w:pPr>
        <w:ind w:left="1440"/>
        <w:rPr>
          <w:rFonts w:asciiTheme="minorHAnsi" w:hAnsiTheme="minorHAnsi" w:cstheme="minorHAnsi"/>
        </w:rPr>
      </w:pPr>
    </w:p>
    <w:p w14:paraId="7F20A192" w14:textId="3EB71562" w:rsidR="00DD6D5B" w:rsidRPr="00EB0888" w:rsidRDefault="006B1EDA" w:rsidP="00D35C36">
      <w:pPr>
        <w:ind w:left="720"/>
        <w:rPr>
          <w:rFonts w:asciiTheme="minorHAnsi" w:hAnsiTheme="minorHAnsi" w:cstheme="minorHAnsi"/>
        </w:rPr>
      </w:pPr>
      <w:r w:rsidRPr="00EB0888">
        <w:rPr>
          <w:rFonts w:asciiTheme="minorHAnsi" w:hAnsiTheme="minorHAnsi" w:cstheme="minorHAnsi"/>
          <w:b/>
        </w:rPr>
        <w:t>4.106.4.2</w:t>
      </w:r>
      <w:r w:rsidRPr="00EB0888">
        <w:rPr>
          <w:rFonts w:asciiTheme="minorHAnsi" w:hAnsiTheme="minorHAnsi" w:cstheme="minorHAnsi"/>
        </w:rPr>
        <w:tab/>
      </w:r>
      <w:r w:rsidRPr="00EB0888">
        <w:rPr>
          <w:rFonts w:asciiTheme="minorHAnsi" w:hAnsiTheme="minorHAnsi" w:cstheme="minorHAnsi"/>
          <w:b/>
        </w:rPr>
        <w:t>New multifamily dwellings.</w:t>
      </w:r>
      <w:r w:rsidRPr="00EB0888">
        <w:rPr>
          <w:rFonts w:asciiTheme="minorHAnsi" w:hAnsiTheme="minorHAnsi" w:cstheme="minorHAnsi"/>
        </w:rPr>
        <w:t xml:space="preserve"> </w:t>
      </w:r>
      <w:r w:rsidR="00DD6D5B" w:rsidRPr="00EB0888">
        <w:rPr>
          <w:rFonts w:asciiTheme="minorHAnsi" w:hAnsiTheme="minorHAnsi" w:cstheme="minorHAnsi"/>
        </w:rPr>
        <w:t>The following requirements apply to all new multifamily dwellings</w:t>
      </w:r>
      <w:r w:rsidR="00024F8B" w:rsidRPr="00EB0888">
        <w:rPr>
          <w:rFonts w:asciiTheme="minorHAnsi" w:hAnsiTheme="minorHAnsi" w:cstheme="minorHAnsi"/>
        </w:rPr>
        <w:t>:</w:t>
      </w:r>
    </w:p>
    <w:p w14:paraId="07D0DC11" w14:textId="6C52427F" w:rsidR="00DD6D5B" w:rsidRPr="00EB0888" w:rsidRDefault="00ED42BB" w:rsidP="002C4783">
      <w:pPr>
        <w:pStyle w:val="ListParagraph"/>
        <w:numPr>
          <w:ilvl w:val="0"/>
          <w:numId w:val="22"/>
        </w:numPr>
        <w:contextualSpacing w:val="0"/>
        <w:rPr>
          <w:rFonts w:cstheme="minorHAnsi"/>
          <w:sz w:val="24"/>
          <w:szCs w:val="24"/>
        </w:rPr>
      </w:pPr>
      <w:r w:rsidRPr="00EB0888">
        <w:rPr>
          <w:rFonts w:cstheme="minorHAnsi"/>
          <w:sz w:val="24"/>
          <w:szCs w:val="24"/>
        </w:rPr>
        <w:lastRenderedPageBreak/>
        <w:t>For multifamily building</w:t>
      </w:r>
      <w:r w:rsidR="00616E75" w:rsidRPr="00EB0888">
        <w:rPr>
          <w:rFonts w:cstheme="minorHAnsi"/>
          <w:sz w:val="24"/>
          <w:szCs w:val="24"/>
        </w:rPr>
        <w:t>s</w:t>
      </w:r>
      <w:r w:rsidRPr="00EB0888">
        <w:rPr>
          <w:rFonts w:cstheme="minorHAnsi"/>
          <w:sz w:val="24"/>
          <w:szCs w:val="24"/>
        </w:rPr>
        <w:t xml:space="preserve"> with less than </w:t>
      </w:r>
      <w:r w:rsidR="00616E75" w:rsidRPr="00EB0888">
        <w:rPr>
          <w:rFonts w:cstheme="minorHAnsi"/>
          <w:sz w:val="24"/>
          <w:szCs w:val="24"/>
        </w:rPr>
        <w:t xml:space="preserve">or </w:t>
      </w:r>
      <w:r w:rsidRPr="00EB0888">
        <w:rPr>
          <w:rFonts w:cstheme="minorHAnsi"/>
          <w:sz w:val="24"/>
          <w:szCs w:val="24"/>
        </w:rPr>
        <w:t>equal to 20 dwelling units, one parking space per dwelling</w:t>
      </w:r>
      <w:r w:rsidR="00616E75" w:rsidRPr="00EB0888">
        <w:rPr>
          <w:rFonts w:cstheme="minorHAnsi"/>
          <w:sz w:val="24"/>
          <w:szCs w:val="24"/>
        </w:rPr>
        <w:t xml:space="preserve"> unit</w:t>
      </w:r>
      <w:r w:rsidR="00EF391A" w:rsidRPr="00EB0888">
        <w:rPr>
          <w:rFonts w:cstheme="minorHAnsi"/>
          <w:sz w:val="24"/>
          <w:szCs w:val="24"/>
        </w:rPr>
        <w:t xml:space="preserve"> with parking</w:t>
      </w:r>
      <w:r w:rsidRPr="00EB0888">
        <w:rPr>
          <w:rFonts w:cstheme="minorHAnsi"/>
          <w:sz w:val="24"/>
          <w:szCs w:val="24"/>
        </w:rPr>
        <w:t xml:space="preserve"> </w:t>
      </w:r>
      <w:r w:rsidR="00765549" w:rsidRPr="00EB0888">
        <w:rPr>
          <w:rFonts w:cstheme="minorHAnsi"/>
          <w:sz w:val="24"/>
          <w:szCs w:val="24"/>
        </w:rPr>
        <w:t>shall</w:t>
      </w:r>
      <w:r w:rsidRPr="00EB0888">
        <w:rPr>
          <w:rFonts w:cstheme="minorHAnsi"/>
          <w:sz w:val="24"/>
          <w:szCs w:val="24"/>
        </w:rPr>
        <w:t xml:space="preserve"> </w:t>
      </w:r>
      <w:r w:rsidR="00C7305A" w:rsidRPr="00EB0888">
        <w:rPr>
          <w:rFonts w:cstheme="minorHAnsi"/>
          <w:sz w:val="24"/>
          <w:szCs w:val="24"/>
        </w:rPr>
        <w:t xml:space="preserve">be provided with a </w:t>
      </w:r>
      <w:r w:rsidR="00765549" w:rsidRPr="00EB0888">
        <w:rPr>
          <w:rFonts w:cstheme="minorHAnsi"/>
          <w:sz w:val="24"/>
          <w:szCs w:val="24"/>
        </w:rPr>
        <w:t xml:space="preserve">Level 2 </w:t>
      </w:r>
      <w:r w:rsidRPr="00EB0888">
        <w:rPr>
          <w:rFonts w:cstheme="minorHAnsi"/>
          <w:sz w:val="24"/>
          <w:szCs w:val="24"/>
        </w:rPr>
        <w:t>EV</w:t>
      </w:r>
      <w:r w:rsidR="002D2442" w:rsidRPr="00EB0888">
        <w:rPr>
          <w:rFonts w:cstheme="minorHAnsi"/>
          <w:sz w:val="24"/>
          <w:szCs w:val="24"/>
        </w:rPr>
        <w:t xml:space="preserve"> </w:t>
      </w:r>
      <w:r w:rsidR="00616E75" w:rsidRPr="00EB0888">
        <w:rPr>
          <w:rFonts w:cstheme="minorHAnsi"/>
          <w:sz w:val="24"/>
          <w:szCs w:val="24"/>
        </w:rPr>
        <w:t>R</w:t>
      </w:r>
      <w:r w:rsidRPr="00EB0888">
        <w:rPr>
          <w:rFonts w:cstheme="minorHAnsi"/>
          <w:sz w:val="24"/>
          <w:szCs w:val="24"/>
        </w:rPr>
        <w:t>eady</w:t>
      </w:r>
      <w:r w:rsidR="00C7305A" w:rsidRPr="00EB0888">
        <w:rPr>
          <w:rFonts w:cstheme="minorHAnsi"/>
          <w:sz w:val="24"/>
          <w:szCs w:val="24"/>
        </w:rPr>
        <w:t xml:space="preserve"> Circuit</w:t>
      </w:r>
      <w:r w:rsidRPr="00EB0888">
        <w:rPr>
          <w:rFonts w:cstheme="minorHAnsi"/>
          <w:sz w:val="24"/>
          <w:szCs w:val="24"/>
        </w:rPr>
        <w:t xml:space="preserve">. </w:t>
      </w:r>
    </w:p>
    <w:p w14:paraId="0373F106" w14:textId="7B0E4612" w:rsidR="00EF391A" w:rsidRPr="00EB0888" w:rsidRDefault="002D483A" w:rsidP="002C4783">
      <w:pPr>
        <w:pStyle w:val="ListParagraph"/>
        <w:numPr>
          <w:ilvl w:val="0"/>
          <w:numId w:val="22"/>
        </w:numPr>
        <w:contextualSpacing w:val="0"/>
        <w:rPr>
          <w:rFonts w:cstheme="minorHAnsi"/>
          <w:sz w:val="24"/>
          <w:szCs w:val="24"/>
        </w:rPr>
      </w:pPr>
      <w:r w:rsidRPr="00EB0888">
        <w:rPr>
          <w:rFonts w:cstheme="minorHAnsi"/>
          <w:sz w:val="24"/>
          <w:szCs w:val="24"/>
        </w:rPr>
        <w:t xml:space="preserve">When </w:t>
      </w:r>
      <w:r w:rsidR="00616E75" w:rsidRPr="00EB0888">
        <w:rPr>
          <w:rFonts w:cstheme="minorHAnsi"/>
          <w:sz w:val="24"/>
          <w:szCs w:val="24"/>
        </w:rPr>
        <w:t xml:space="preserve">more than </w:t>
      </w:r>
      <w:r w:rsidRPr="00EB0888">
        <w:rPr>
          <w:rFonts w:cstheme="minorHAnsi"/>
          <w:sz w:val="24"/>
          <w:szCs w:val="24"/>
        </w:rPr>
        <w:t>20 multifamily dwelling units are constructed on a building site</w:t>
      </w:r>
      <w:r w:rsidR="4021A58F" w:rsidRPr="00EB0888">
        <w:rPr>
          <w:rFonts w:cstheme="minorHAnsi"/>
          <w:sz w:val="24"/>
          <w:szCs w:val="24"/>
        </w:rPr>
        <w:t>:</w:t>
      </w:r>
    </w:p>
    <w:p w14:paraId="05D484DC" w14:textId="48FDC413" w:rsidR="00EF391A" w:rsidRPr="00EB0888" w:rsidRDefault="00320E25" w:rsidP="00184804">
      <w:pPr>
        <w:pStyle w:val="ListParagraph"/>
        <w:numPr>
          <w:ilvl w:val="0"/>
          <w:numId w:val="23"/>
        </w:numPr>
        <w:contextualSpacing w:val="0"/>
        <w:rPr>
          <w:rFonts w:cstheme="minorHAnsi"/>
          <w:sz w:val="24"/>
          <w:szCs w:val="24"/>
        </w:rPr>
      </w:pPr>
      <w:r w:rsidRPr="00EB0888">
        <w:rPr>
          <w:rFonts w:cstheme="minorHAnsi"/>
          <w:sz w:val="24"/>
          <w:szCs w:val="24"/>
        </w:rPr>
        <w:t>25%</w:t>
      </w:r>
      <w:r w:rsidR="00CB3F32" w:rsidRPr="00EB0888">
        <w:rPr>
          <w:rFonts w:cstheme="minorHAnsi"/>
          <w:sz w:val="24"/>
          <w:szCs w:val="24"/>
        </w:rPr>
        <w:t xml:space="preserve"> of the</w:t>
      </w:r>
      <w:r w:rsidR="00737DD3" w:rsidRPr="00EB0888">
        <w:rPr>
          <w:rFonts w:cstheme="minorHAnsi"/>
          <w:sz w:val="24"/>
          <w:szCs w:val="24"/>
        </w:rPr>
        <w:t xml:space="preserve"> </w:t>
      </w:r>
      <w:r w:rsidR="004C79B0" w:rsidRPr="00EB0888">
        <w:rPr>
          <w:rFonts w:cstheme="minorHAnsi"/>
          <w:sz w:val="24"/>
          <w:szCs w:val="24"/>
        </w:rPr>
        <w:t>dwelling units with parking space</w:t>
      </w:r>
      <w:r w:rsidR="00DD6D5B" w:rsidRPr="00EB0888">
        <w:rPr>
          <w:rFonts w:cstheme="minorHAnsi"/>
          <w:sz w:val="24"/>
          <w:szCs w:val="24"/>
        </w:rPr>
        <w:t>(</w:t>
      </w:r>
      <w:r w:rsidR="004C79B0" w:rsidRPr="00EB0888">
        <w:rPr>
          <w:rFonts w:cstheme="minorHAnsi"/>
          <w:sz w:val="24"/>
          <w:szCs w:val="24"/>
        </w:rPr>
        <w:t>s</w:t>
      </w:r>
      <w:r w:rsidR="00DD6D5B" w:rsidRPr="00EB0888">
        <w:rPr>
          <w:rFonts w:cstheme="minorHAnsi"/>
          <w:sz w:val="24"/>
          <w:szCs w:val="24"/>
        </w:rPr>
        <w:t>)</w:t>
      </w:r>
      <w:r w:rsidR="004C79B0" w:rsidRPr="00EB0888">
        <w:rPr>
          <w:rFonts w:cstheme="minorHAnsi"/>
          <w:sz w:val="24"/>
          <w:szCs w:val="24"/>
        </w:rPr>
        <w:t xml:space="preserve"> </w:t>
      </w:r>
      <w:r w:rsidR="006B1EDA" w:rsidRPr="00EB0888">
        <w:rPr>
          <w:rFonts w:cstheme="minorHAnsi"/>
          <w:sz w:val="24"/>
          <w:szCs w:val="24"/>
        </w:rPr>
        <w:t xml:space="preserve">shall </w:t>
      </w:r>
      <w:r w:rsidR="00616E75" w:rsidRPr="00EB0888">
        <w:rPr>
          <w:rFonts w:cstheme="minorHAnsi"/>
          <w:sz w:val="24"/>
          <w:szCs w:val="24"/>
        </w:rPr>
        <w:t xml:space="preserve">be </w:t>
      </w:r>
      <w:r w:rsidR="004C79B0" w:rsidRPr="00EB0888">
        <w:rPr>
          <w:rFonts w:cstheme="minorHAnsi"/>
          <w:sz w:val="24"/>
          <w:szCs w:val="24"/>
        </w:rPr>
        <w:t xml:space="preserve">provided with </w:t>
      </w:r>
      <w:r w:rsidR="00DD6D5B" w:rsidRPr="00EB0888">
        <w:rPr>
          <w:rFonts w:cstheme="minorHAnsi"/>
          <w:sz w:val="24"/>
          <w:szCs w:val="24"/>
        </w:rPr>
        <w:t>a</w:t>
      </w:r>
      <w:r w:rsidR="006F5A72" w:rsidRPr="00EB0888">
        <w:rPr>
          <w:rFonts w:cstheme="minorHAnsi"/>
          <w:sz w:val="24"/>
          <w:szCs w:val="24"/>
        </w:rPr>
        <w:t>t least one</w:t>
      </w:r>
      <w:r w:rsidR="00DD6D5B" w:rsidRPr="00EB0888">
        <w:rPr>
          <w:rFonts w:cstheme="minorHAnsi"/>
          <w:sz w:val="24"/>
          <w:szCs w:val="24"/>
        </w:rPr>
        <w:t xml:space="preserve"> </w:t>
      </w:r>
      <w:r w:rsidR="00616E75" w:rsidRPr="00EB0888">
        <w:rPr>
          <w:rFonts w:cstheme="minorHAnsi"/>
          <w:sz w:val="24"/>
          <w:szCs w:val="24"/>
        </w:rPr>
        <w:t>Level 2 EV</w:t>
      </w:r>
      <w:r w:rsidR="006B1EDA" w:rsidRPr="00EB0888">
        <w:rPr>
          <w:rFonts w:cstheme="minorHAnsi"/>
          <w:sz w:val="24"/>
          <w:szCs w:val="24"/>
        </w:rPr>
        <w:t xml:space="preserve"> </w:t>
      </w:r>
      <w:r w:rsidR="00616E75" w:rsidRPr="00EB0888">
        <w:rPr>
          <w:rFonts w:cstheme="minorHAnsi"/>
          <w:sz w:val="24"/>
          <w:szCs w:val="24"/>
        </w:rPr>
        <w:t>R</w:t>
      </w:r>
      <w:r w:rsidR="00CB3F32" w:rsidRPr="00EB0888">
        <w:rPr>
          <w:rFonts w:cstheme="minorHAnsi"/>
          <w:sz w:val="24"/>
          <w:szCs w:val="24"/>
        </w:rPr>
        <w:t>eady</w:t>
      </w:r>
      <w:r w:rsidR="004C79B0" w:rsidRPr="00EB0888">
        <w:rPr>
          <w:rFonts w:cstheme="minorHAnsi"/>
          <w:sz w:val="24"/>
          <w:szCs w:val="24"/>
        </w:rPr>
        <w:t xml:space="preserve"> Circuit</w:t>
      </w:r>
      <w:r w:rsidR="00CB3F32" w:rsidRPr="00EB0888">
        <w:rPr>
          <w:rFonts w:cstheme="minorHAnsi"/>
          <w:sz w:val="24"/>
          <w:szCs w:val="24"/>
        </w:rPr>
        <w:t xml:space="preserve">. </w:t>
      </w:r>
      <w:r w:rsidR="509850BE" w:rsidRPr="00EB0888">
        <w:rPr>
          <w:rFonts w:cstheme="minorHAnsi"/>
          <w:sz w:val="24"/>
          <w:szCs w:val="24"/>
        </w:rPr>
        <w:t xml:space="preserve">Calculations for the required minimum number of Level 2 EV Ready spaces shall be rounded up to the nearest whole number. </w:t>
      </w:r>
    </w:p>
    <w:p w14:paraId="6DB5D2BF" w14:textId="6DA3150D" w:rsidR="00EF391A" w:rsidRPr="00EB0888" w:rsidRDefault="00320E25" w:rsidP="00184804">
      <w:pPr>
        <w:pStyle w:val="ListParagraph"/>
        <w:numPr>
          <w:ilvl w:val="0"/>
          <w:numId w:val="23"/>
        </w:numPr>
        <w:contextualSpacing w:val="0"/>
        <w:rPr>
          <w:rFonts w:cstheme="minorHAnsi"/>
          <w:sz w:val="24"/>
          <w:szCs w:val="24"/>
        </w:rPr>
      </w:pPr>
      <w:r w:rsidRPr="00EB0888">
        <w:rPr>
          <w:rFonts w:cstheme="minorHAnsi"/>
          <w:sz w:val="24"/>
          <w:szCs w:val="24"/>
        </w:rPr>
        <w:t>In addition, e</w:t>
      </w:r>
      <w:r w:rsidR="00CB3F32" w:rsidRPr="00EB0888">
        <w:rPr>
          <w:rFonts w:cstheme="minorHAnsi"/>
          <w:sz w:val="24"/>
          <w:szCs w:val="24"/>
        </w:rPr>
        <w:t>ach</w:t>
      </w:r>
      <w:r w:rsidR="004C79B0" w:rsidRPr="00EB0888">
        <w:rPr>
          <w:rFonts w:cstheme="minorHAnsi"/>
          <w:sz w:val="24"/>
          <w:szCs w:val="24"/>
        </w:rPr>
        <w:t xml:space="preserve"> remaining </w:t>
      </w:r>
      <w:r w:rsidR="00DD6D5B" w:rsidRPr="00EB0888">
        <w:rPr>
          <w:rFonts w:cstheme="minorHAnsi"/>
          <w:sz w:val="24"/>
          <w:szCs w:val="24"/>
        </w:rPr>
        <w:t>dwelling unit with parking space</w:t>
      </w:r>
      <w:r w:rsidR="004C79B0" w:rsidRPr="00EB0888">
        <w:rPr>
          <w:rFonts w:cstheme="minorHAnsi"/>
          <w:sz w:val="24"/>
          <w:szCs w:val="24"/>
        </w:rPr>
        <w:t>(</w:t>
      </w:r>
      <w:r w:rsidR="00DD6D5B" w:rsidRPr="00EB0888">
        <w:rPr>
          <w:rFonts w:cstheme="minorHAnsi"/>
          <w:sz w:val="24"/>
          <w:szCs w:val="24"/>
        </w:rPr>
        <w:t>s</w:t>
      </w:r>
      <w:r w:rsidR="004C79B0" w:rsidRPr="00EB0888">
        <w:rPr>
          <w:rFonts w:cstheme="minorHAnsi"/>
          <w:sz w:val="24"/>
          <w:szCs w:val="24"/>
        </w:rPr>
        <w:t>)</w:t>
      </w:r>
      <w:r w:rsidR="00616E75" w:rsidRPr="00EB0888">
        <w:rPr>
          <w:rFonts w:cstheme="minorHAnsi"/>
          <w:sz w:val="24"/>
          <w:szCs w:val="24"/>
        </w:rPr>
        <w:t xml:space="preserve"> </w:t>
      </w:r>
      <w:r w:rsidR="008A1199" w:rsidRPr="00EB0888">
        <w:rPr>
          <w:rFonts w:cstheme="minorHAnsi"/>
          <w:sz w:val="24"/>
          <w:szCs w:val="24"/>
        </w:rPr>
        <w:t>shall be</w:t>
      </w:r>
      <w:r w:rsidR="004C79B0" w:rsidRPr="00EB0888">
        <w:rPr>
          <w:rFonts w:cstheme="minorHAnsi"/>
          <w:sz w:val="24"/>
          <w:szCs w:val="24"/>
        </w:rPr>
        <w:t xml:space="preserve"> </w:t>
      </w:r>
      <w:r w:rsidR="00DD6D5B" w:rsidRPr="00EB0888">
        <w:rPr>
          <w:rFonts w:cstheme="minorHAnsi"/>
          <w:sz w:val="24"/>
          <w:szCs w:val="24"/>
        </w:rPr>
        <w:t>provided with</w:t>
      </w:r>
      <w:r w:rsidRPr="00EB0888">
        <w:rPr>
          <w:rFonts w:cstheme="minorHAnsi"/>
          <w:sz w:val="24"/>
          <w:szCs w:val="24"/>
        </w:rPr>
        <w:t xml:space="preserve"> </w:t>
      </w:r>
      <w:r w:rsidR="00DD6D5B" w:rsidRPr="00EB0888">
        <w:rPr>
          <w:rFonts w:cstheme="minorHAnsi"/>
          <w:sz w:val="24"/>
          <w:szCs w:val="24"/>
        </w:rPr>
        <w:t>at least</w:t>
      </w:r>
      <w:r w:rsidR="00616E75" w:rsidRPr="00EB0888">
        <w:rPr>
          <w:rFonts w:cstheme="minorHAnsi"/>
          <w:sz w:val="24"/>
          <w:szCs w:val="24"/>
        </w:rPr>
        <w:t xml:space="preserve"> a </w:t>
      </w:r>
      <w:r w:rsidR="002D2442" w:rsidRPr="00EB0888">
        <w:rPr>
          <w:rFonts w:cstheme="minorHAnsi"/>
          <w:sz w:val="24"/>
          <w:szCs w:val="24"/>
        </w:rPr>
        <w:t>Level 1 EV</w:t>
      </w:r>
      <w:r w:rsidR="00616E75" w:rsidRPr="00EB0888">
        <w:rPr>
          <w:rFonts w:cstheme="minorHAnsi"/>
          <w:sz w:val="24"/>
          <w:szCs w:val="24"/>
        </w:rPr>
        <w:t xml:space="preserve"> </w:t>
      </w:r>
      <w:r w:rsidR="00CB3F32" w:rsidRPr="00EB0888">
        <w:rPr>
          <w:rFonts w:cstheme="minorHAnsi"/>
          <w:sz w:val="24"/>
          <w:szCs w:val="24"/>
        </w:rPr>
        <w:t>R</w:t>
      </w:r>
      <w:r w:rsidR="004C79B0" w:rsidRPr="00EB0888">
        <w:rPr>
          <w:rFonts w:cstheme="minorHAnsi"/>
          <w:sz w:val="24"/>
          <w:szCs w:val="24"/>
        </w:rPr>
        <w:t>eady</w:t>
      </w:r>
      <w:r w:rsidR="00CB3F32" w:rsidRPr="00EB0888">
        <w:rPr>
          <w:rFonts w:cstheme="minorHAnsi"/>
          <w:sz w:val="24"/>
          <w:szCs w:val="24"/>
        </w:rPr>
        <w:t xml:space="preserve"> Circuit</w:t>
      </w:r>
      <w:r w:rsidR="006B1EDA" w:rsidRPr="00EB0888">
        <w:rPr>
          <w:rFonts w:cstheme="minorHAnsi"/>
          <w:sz w:val="24"/>
          <w:szCs w:val="24"/>
        </w:rPr>
        <w:t>.</w:t>
      </w:r>
      <w:r w:rsidR="509850BE" w:rsidRPr="00EB0888">
        <w:rPr>
          <w:rFonts w:cstheme="minorHAnsi"/>
          <w:sz w:val="24"/>
          <w:szCs w:val="24"/>
        </w:rPr>
        <w:t xml:space="preserve"> </w:t>
      </w:r>
    </w:p>
    <w:p w14:paraId="246B7EF2" w14:textId="77777777" w:rsidR="002C4783" w:rsidRPr="00EB0888" w:rsidRDefault="002C4783" w:rsidP="0044726C">
      <w:pPr>
        <w:ind w:left="1800"/>
        <w:rPr>
          <w:rFonts w:asciiTheme="minorHAnsi" w:hAnsiTheme="minorHAnsi" w:cstheme="minorHAnsi"/>
        </w:rPr>
      </w:pPr>
    </w:p>
    <w:p w14:paraId="25DF9AAD" w14:textId="03F7ECCE" w:rsidR="00D35C36" w:rsidRPr="00EB0888" w:rsidRDefault="00D35C36" w:rsidP="002C4783">
      <w:pPr>
        <w:ind w:left="1440"/>
        <w:rPr>
          <w:rFonts w:asciiTheme="minorHAnsi" w:hAnsiTheme="minorHAnsi" w:cstheme="minorHAnsi"/>
        </w:rPr>
      </w:pPr>
      <w:r w:rsidRPr="00EB0888">
        <w:rPr>
          <w:rFonts w:asciiTheme="minorHAnsi" w:hAnsiTheme="minorHAnsi" w:cstheme="minorHAnsi"/>
          <w:b/>
          <w:bCs/>
        </w:rPr>
        <w:t>Exception:</w:t>
      </w:r>
      <w:r w:rsidRPr="00EB0888">
        <w:rPr>
          <w:rFonts w:asciiTheme="minorHAnsi" w:hAnsiTheme="minorHAnsi" w:cstheme="minorHAnsi"/>
        </w:rPr>
        <w:t xml:space="preserve"> For all multifamily affordable housing, 10% of dwelling units with parking space(s) shall be provided with at least one Level 2 EV Ready Circuit</w:t>
      </w:r>
      <w:r w:rsidR="00EA4C2F" w:rsidRPr="00EB0888">
        <w:rPr>
          <w:rFonts w:asciiTheme="minorHAnsi" w:hAnsiTheme="minorHAnsi" w:cstheme="minorHAnsi"/>
        </w:rPr>
        <w:t>. Calculations for the required minimum number of Level 2 EV Ready spaces shall be rounded up to the nearest whole number.  T</w:t>
      </w:r>
      <w:r w:rsidRPr="00EB0888">
        <w:rPr>
          <w:rFonts w:asciiTheme="minorHAnsi" w:hAnsiTheme="minorHAnsi" w:cstheme="minorHAnsi"/>
        </w:rPr>
        <w:t xml:space="preserve">he remaining dwelling units with parking space(s) shall </w:t>
      </w:r>
      <w:r w:rsidR="009A51DB" w:rsidRPr="00EB0888">
        <w:rPr>
          <w:rFonts w:asciiTheme="minorHAnsi" w:hAnsiTheme="minorHAnsi" w:cstheme="minorHAnsi"/>
        </w:rPr>
        <w:t xml:space="preserve">each </w:t>
      </w:r>
      <w:r w:rsidRPr="00EB0888">
        <w:rPr>
          <w:rFonts w:asciiTheme="minorHAnsi" w:hAnsiTheme="minorHAnsi" w:cstheme="minorHAnsi"/>
        </w:rPr>
        <w:t xml:space="preserve">be provided with at least </w:t>
      </w:r>
      <w:r w:rsidR="004105A4" w:rsidRPr="00EB0888">
        <w:rPr>
          <w:rFonts w:asciiTheme="minorHAnsi" w:hAnsiTheme="minorHAnsi" w:cstheme="minorHAnsi"/>
        </w:rPr>
        <w:t>a</w:t>
      </w:r>
      <w:r w:rsidRPr="00EB0888">
        <w:rPr>
          <w:rFonts w:asciiTheme="minorHAnsi" w:hAnsiTheme="minorHAnsi" w:cstheme="minorHAnsi"/>
        </w:rPr>
        <w:t xml:space="preserve"> Level 1 EV Ready Circuit.</w:t>
      </w:r>
    </w:p>
    <w:p w14:paraId="1BE4A24D" w14:textId="77777777" w:rsidR="00184804" w:rsidRPr="00EB0888" w:rsidRDefault="00184804" w:rsidP="002C4783">
      <w:pPr>
        <w:ind w:left="720" w:firstLine="720"/>
        <w:rPr>
          <w:rFonts w:asciiTheme="minorHAnsi" w:hAnsiTheme="minorHAnsi" w:cstheme="minorHAnsi"/>
          <w:b/>
          <w:bCs/>
        </w:rPr>
      </w:pPr>
    </w:p>
    <w:p w14:paraId="4FDAB7B3" w14:textId="39F234E9" w:rsidR="001E654B" w:rsidRPr="00EB0888" w:rsidRDefault="006B1EDA" w:rsidP="002C4783">
      <w:pPr>
        <w:ind w:left="720" w:firstLine="720"/>
        <w:rPr>
          <w:rFonts w:asciiTheme="minorHAnsi" w:hAnsiTheme="minorHAnsi" w:cstheme="minorHAnsi"/>
        </w:rPr>
      </w:pPr>
      <w:r w:rsidRPr="00EB0888">
        <w:rPr>
          <w:rFonts w:asciiTheme="minorHAnsi" w:hAnsiTheme="minorHAnsi" w:cstheme="minorHAnsi"/>
          <w:b/>
          <w:bCs/>
        </w:rPr>
        <w:t>Note</w:t>
      </w:r>
      <w:r w:rsidR="001E654B" w:rsidRPr="00EB0888">
        <w:rPr>
          <w:rFonts w:asciiTheme="minorHAnsi" w:hAnsiTheme="minorHAnsi" w:cstheme="minorHAnsi"/>
          <w:b/>
          <w:bCs/>
        </w:rPr>
        <w:t>s</w:t>
      </w:r>
      <w:r w:rsidRPr="00EB0888">
        <w:rPr>
          <w:rFonts w:asciiTheme="minorHAnsi" w:hAnsiTheme="minorHAnsi" w:cstheme="minorHAnsi"/>
          <w:b/>
          <w:bCs/>
        </w:rPr>
        <w:t>:</w:t>
      </w:r>
      <w:r w:rsidRPr="00EB0888">
        <w:rPr>
          <w:rFonts w:asciiTheme="minorHAnsi" w:hAnsiTheme="minorHAnsi" w:cstheme="minorHAnsi"/>
        </w:rPr>
        <w:t xml:space="preserve"> </w:t>
      </w:r>
    </w:p>
    <w:p w14:paraId="0405A0EA" w14:textId="7B0AC732" w:rsidR="009E161D" w:rsidRPr="00EB0888" w:rsidRDefault="00320E25" w:rsidP="002C4783">
      <w:pPr>
        <w:pStyle w:val="ListParagraph"/>
        <w:numPr>
          <w:ilvl w:val="0"/>
          <w:numId w:val="24"/>
        </w:numPr>
        <w:ind w:left="2160"/>
        <w:contextualSpacing w:val="0"/>
        <w:rPr>
          <w:rFonts w:cstheme="minorHAnsi"/>
          <w:sz w:val="24"/>
          <w:szCs w:val="24"/>
        </w:rPr>
      </w:pPr>
      <w:r w:rsidRPr="00EB0888">
        <w:rPr>
          <w:rFonts w:cstheme="minorHAnsi"/>
          <w:sz w:val="24"/>
          <w:szCs w:val="24"/>
        </w:rPr>
        <w:t>L</w:t>
      </w:r>
      <w:r w:rsidR="009E161D" w:rsidRPr="00EB0888">
        <w:rPr>
          <w:rFonts w:cstheme="minorHAnsi"/>
          <w:sz w:val="24"/>
          <w:szCs w:val="24"/>
        </w:rPr>
        <w:t>oad balancing</w:t>
      </w:r>
      <w:r w:rsidR="00563990" w:rsidRPr="00EB0888">
        <w:rPr>
          <w:rFonts w:cstheme="minorHAnsi"/>
          <w:sz w:val="24"/>
          <w:szCs w:val="24"/>
        </w:rPr>
        <w:t xml:space="preserve"> system</w:t>
      </w:r>
      <w:r w:rsidRPr="00EB0888">
        <w:rPr>
          <w:rFonts w:cstheme="minorHAnsi"/>
          <w:sz w:val="24"/>
          <w:szCs w:val="24"/>
        </w:rPr>
        <w:t>s may be installed</w:t>
      </w:r>
      <w:r w:rsidR="00563990" w:rsidRPr="00EB0888">
        <w:rPr>
          <w:rFonts w:cstheme="minorHAnsi"/>
          <w:sz w:val="24"/>
          <w:szCs w:val="24"/>
        </w:rPr>
        <w:t xml:space="preserve"> to increase</w:t>
      </w:r>
      <w:r w:rsidR="009E161D" w:rsidRPr="00EB0888">
        <w:rPr>
          <w:rFonts w:cstheme="minorHAnsi"/>
          <w:sz w:val="24"/>
          <w:szCs w:val="24"/>
        </w:rPr>
        <w:t xml:space="preserve"> the number of EV charg</w:t>
      </w:r>
      <w:r w:rsidRPr="00EB0888">
        <w:rPr>
          <w:rFonts w:cstheme="minorHAnsi"/>
          <w:sz w:val="24"/>
          <w:szCs w:val="24"/>
        </w:rPr>
        <w:t>ers or the amperage</w:t>
      </w:r>
      <w:r w:rsidR="009E161D" w:rsidRPr="00EB0888">
        <w:rPr>
          <w:rFonts w:cstheme="minorHAnsi"/>
          <w:sz w:val="24"/>
          <w:szCs w:val="24"/>
        </w:rPr>
        <w:t xml:space="preserve"> </w:t>
      </w:r>
      <w:r w:rsidR="00830DDF" w:rsidRPr="00EB0888">
        <w:rPr>
          <w:rFonts w:cstheme="minorHAnsi"/>
          <w:sz w:val="24"/>
          <w:szCs w:val="24"/>
        </w:rPr>
        <w:t xml:space="preserve">or voltage </w:t>
      </w:r>
      <w:r w:rsidR="009E161D" w:rsidRPr="00EB0888">
        <w:rPr>
          <w:rFonts w:cstheme="minorHAnsi"/>
          <w:sz w:val="24"/>
          <w:szCs w:val="24"/>
        </w:rPr>
        <w:t xml:space="preserve">beyond the </w:t>
      </w:r>
      <w:r w:rsidR="00563990" w:rsidRPr="00EB0888">
        <w:rPr>
          <w:rFonts w:cstheme="minorHAnsi"/>
          <w:sz w:val="24"/>
          <w:szCs w:val="24"/>
        </w:rPr>
        <w:t>minimum</w:t>
      </w:r>
      <w:r w:rsidR="009E161D" w:rsidRPr="00EB0888">
        <w:rPr>
          <w:rFonts w:cstheme="minorHAnsi"/>
          <w:sz w:val="24"/>
          <w:szCs w:val="24"/>
        </w:rPr>
        <w:t xml:space="preserve"> require</w:t>
      </w:r>
      <w:r w:rsidR="2C4A982F" w:rsidRPr="00EB0888">
        <w:rPr>
          <w:rFonts w:cstheme="minorHAnsi"/>
          <w:sz w:val="24"/>
          <w:szCs w:val="24"/>
        </w:rPr>
        <w:t>d</w:t>
      </w:r>
      <w:r w:rsidR="009E161D" w:rsidRPr="00EB0888">
        <w:rPr>
          <w:rFonts w:cstheme="minorHAnsi"/>
          <w:sz w:val="24"/>
          <w:szCs w:val="24"/>
        </w:rPr>
        <w:t xml:space="preserve">. </w:t>
      </w:r>
      <w:r w:rsidR="2C4A982F" w:rsidRPr="00EB0888">
        <w:rPr>
          <w:rFonts w:cstheme="minorHAnsi"/>
          <w:sz w:val="24"/>
          <w:szCs w:val="24"/>
        </w:rPr>
        <w:t xml:space="preserve">Load balancing </w:t>
      </w:r>
      <w:r w:rsidR="009E161D" w:rsidRPr="00EB0888">
        <w:rPr>
          <w:rFonts w:cstheme="minorHAnsi"/>
          <w:sz w:val="24"/>
          <w:szCs w:val="24"/>
        </w:rPr>
        <w:t>does not allow installing less electrical panel capacity than would be required without load balancing.</w:t>
      </w:r>
    </w:p>
    <w:p w14:paraId="40AC465D" w14:textId="6788CB50" w:rsidR="00DD6D5B" w:rsidRPr="00EB0888" w:rsidRDefault="00DD6D5B" w:rsidP="002C4783">
      <w:pPr>
        <w:pStyle w:val="ListParagraph"/>
        <w:numPr>
          <w:ilvl w:val="0"/>
          <w:numId w:val="24"/>
        </w:numPr>
        <w:ind w:left="2160"/>
        <w:contextualSpacing w:val="0"/>
        <w:rPr>
          <w:rFonts w:cstheme="minorHAnsi"/>
          <w:sz w:val="24"/>
          <w:szCs w:val="24"/>
        </w:rPr>
      </w:pPr>
      <w:r w:rsidRPr="00EB0888">
        <w:rPr>
          <w:rFonts w:cstheme="minorHAnsi"/>
          <w:sz w:val="24"/>
          <w:szCs w:val="24"/>
        </w:rPr>
        <w:t xml:space="preserve">Installation of Level 2 EV Ready Circuits above the minimum </w:t>
      </w:r>
      <w:r w:rsidR="08704B5E" w:rsidRPr="00EB0888">
        <w:rPr>
          <w:rFonts w:cstheme="minorHAnsi"/>
          <w:sz w:val="24"/>
          <w:szCs w:val="24"/>
        </w:rPr>
        <w:t>nu</w:t>
      </w:r>
      <w:r w:rsidR="2854CA6B" w:rsidRPr="00EB0888">
        <w:rPr>
          <w:rFonts w:cstheme="minorHAnsi"/>
          <w:sz w:val="24"/>
          <w:szCs w:val="24"/>
        </w:rPr>
        <w:t xml:space="preserve">mber </w:t>
      </w:r>
      <w:r w:rsidRPr="00EB0888">
        <w:rPr>
          <w:rFonts w:cstheme="minorHAnsi"/>
          <w:sz w:val="24"/>
          <w:szCs w:val="24"/>
        </w:rPr>
        <w:t xml:space="preserve">required level </w:t>
      </w:r>
      <w:r w:rsidR="00A60810" w:rsidRPr="00EB0888">
        <w:rPr>
          <w:rFonts w:cstheme="minorHAnsi"/>
          <w:sz w:val="24"/>
          <w:szCs w:val="24"/>
        </w:rPr>
        <w:t xml:space="preserve">may </w:t>
      </w:r>
      <w:r w:rsidR="2854CA6B" w:rsidRPr="00EB0888">
        <w:rPr>
          <w:rFonts w:cstheme="minorHAnsi"/>
          <w:sz w:val="24"/>
          <w:szCs w:val="24"/>
        </w:rPr>
        <w:t xml:space="preserve">offset </w:t>
      </w:r>
      <w:r w:rsidR="004164E9" w:rsidRPr="00EB0888">
        <w:rPr>
          <w:rFonts w:cstheme="minorHAnsi"/>
          <w:sz w:val="24"/>
          <w:szCs w:val="24"/>
        </w:rPr>
        <w:t xml:space="preserve">the </w:t>
      </w:r>
      <w:r w:rsidRPr="00EB0888">
        <w:rPr>
          <w:rFonts w:cstheme="minorHAnsi"/>
          <w:sz w:val="24"/>
          <w:szCs w:val="24"/>
        </w:rPr>
        <w:t>minimum number Level 1 EV</w:t>
      </w:r>
      <w:r w:rsidR="002D2442" w:rsidRPr="00EB0888">
        <w:rPr>
          <w:rFonts w:cstheme="minorHAnsi"/>
          <w:sz w:val="24"/>
          <w:szCs w:val="24"/>
        </w:rPr>
        <w:t xml:space="preserve"> </w:t>
      </w:r>
      <w:r w:rsidRPr="00EB0888">
        <w:rPr>
          <w:rFonts w:cstheme="minorHAnsi"/>
          <w:sz w:val="24"/>
          <w:szCs w:val="24"/>
        </w:rPr>
        <w:t>Ready Circuits</w:t>
      </w:r>
      <w:r w:rsidR="2854CA6B" w:rsidRPr="00EB0888">
        <w:rPr>
          <w:rFonts w:cstheme="minorHAnsi"/>
          <w:sz w:val="24"/>
          <w:szCs w:val="24"/>
        </w:rPr>
        <w:t xml:space="preserve"> required on a 1:1 basis</w:t>
      </w:r>
      <w:r w:rsidRPr="00EB0888">
        <w:rPr>
          <w:rFonts w:cstheme="minorHAnsi"/>
          <w:sz w:val="24"/>
          <w:szCs w:val="24"/>
        </w:rPr>
        <w:t>.</w:t>
      </w:r>
    </w:p>
    <w:p w14:paraId="1B09ABCD" w14:textId="7A1DE45F" w:rsidR="00DC2C93" w:rsidRPr="00EB0888" w:rsidRDefault="00157FD6" w:rsidP="002C4783">
      <w:pPr>
        <w:pStyle w:val="ListParagraph"/>
        <w:numPr>
          <w:ilvl w:val="0"/>
          <w:numId w:val="24"/>
        </w:numPr>
        <w:ind w:left="2160"/>
        <w:contextualSpacing w:val="0"/>
        <w:rPr>
          <w:rFonts w:cstheme="minorHAnsi"/>
          <w:sz w:val="24"/>
          <w:szCs w:val="24"/>
        </w:rPr>
      </w:pPr>
      <w:r w:rsidRPr="00EB0888">
        <w:rPr>
          <w:rFonts w:cstheme="minorHAnsi"/>
          <w:sz w:val="24"/>
          <w:szCs w:val="24"/>
        </w:rPr>
        <w:t xml:space="preserve">The requirements apply to </w:t>
      </w:r>
      <w:r w:rsidR="000419F7" w:rsidRPr="00EB0888">
        <w:rPr>
          <w:rFonts w:cstheme="minorHAnsi"/>
          <w:sz w:val="24"/>
          <w:szCs w:val="24"/>
        </w:rPr>
        <w:t xml:space="preserve">multifamily </w:t>
      </w:r>
      <w:r w:rsidRPr="00EB0888">
        <w:rPr>
          <w:rFonts w:cstheme="minorHAnsi"/>
          <w:sz w:val="24"/>
          <w:szCs w:val="24"/>
        </w:rPr>
        <w:t>buildings with parking spaces</w:t>
      </w:r>
      <w:r w:rsidR="00587AA5" w:rsidRPr="00EB0888">
        <w:rPr>
          <w:rFonts w:cstheme="minorHAnsi"/>
          <w:sz w:val="24"/>
          <w:szCs w:val="24"/>
        </w:rPr>
        <w:t xml:space="preserve"> including: a) assigned or leased to individual dwelling units,</w:t>
      </w:r>
      <w:r w:rsidRPr="00EB0888">
        <w:rPr>
          <w:rFonts w:cstheme="minorHAnsi"/>
          <w:sz w:val="24"/>
          <w:szCs w:val="24"/>
        </w:rPr>
        <w:t xml:space="preserve"> </w:t>
      </w:r>
      <w:r w:rsidR="00587AA5" w:rsidRPr="00EB0888">
        <w:rPr>
          <w:rFonts w:cstheme="minorHAnsi"/>
          <w:sz w:val="24"/>
          <w:szCs w:val="24"/>
        </w:rPr>
        <w:t>and</w:t>
      </w:r>
      <w:r w:rsidR="006C5435" w:rsidRPr="00EB0888">
        <w:rPr>
          <w:rFonts w:cstheme="minorHAnsi"/>
          <w:sz w:val="24"/>
          <w:szCs w:val="24"/>
        </w:rPr>
        <w:t xml:space="preserve"> </w:t>
      </w:r>
      <w:r w:rsidR="00587AA5" w:rsidRPr="00EB0888">
        <w:rPr>
          <w:rFonts w:cstheme="minorHAnsi"/>
          <w:sz w:val="24"/>
          <w:szCs w:val="24"/>
        </w:rPr>
        <w:t>b) unassigned</w:t>
      </w:r>
      <w:r w:rsidR="006C5435" w:rsidRPr="00EB0888">
        <w:rPr>
          <w:rFonts w:cstheme="minorHAnsi"/>
          <w:sz w:val="24"/>
          <w:szCs w:val="24"/>
        </w:rPr>
        <w:t xml:space="preserve"> residential parking</w:t>
      </w:r>
      <w:r w:rsidRPr="00EB0888">
        <w:rPr>
          <w:rFonts w:cstheme="minorHAnsi"/>
          <w:sz w:val="24"/>
          <w:szCs w:val="24"/>
        </w:rPr>
        <w:t>.</w:t>
      </w:r>
    </w:p>
    <w:p w14:paraId="67CF1907" w14:textId="31B76A82" w:rsidR="00AB4132" w:rsidRPr="00EB0888" w:rsidRDefault="00F40419" w:rsidP="002C4783">
      <w:pPr>
        <w:pStyle w:val="ListParagraph"/>
        <w:numPr>
          <w:ilvl w:val="0"/>
          <w:numId w:val="24"/>
        </w:numPr>
        <w:ind w:left="2160"/>
        <w:contextualSpacing w:val="0"/>
        <w:rPr>
          <w:rFonts w:cstheme="minorHAnsi"/>
          <w:sz w:val="24"/>
          <w:szCs w:val="24"/>
        </w:rPr>
      </w:pPr>
      <w:r w:rsidRPr="00EB0888">
        <w:rPr>
          <w:rFonts w:cstheme="minorHAnsi"/>
          <w:sz w:val="24"/>
          <w:szCs w:val="24"/>
        </w:rPr>
        <w:t xml:space="preserve">Local jurisdictions may consider allowing exceptions through their local process, </w:t>
      </w:r>
      <w:r w:rsidR="003E0891" w:rsidRPr="00EB0888">
        <w:rPr>
          <w:rFonts w:cstheme="minorHAnsi"/>
          <w:sz w:val="24"/>
          <w:szCs w:val="24"/>
        </w:rPr>
        <w:t xml:space="preserve">on a case by case basis, </w:t>
      </w:r>
      <w:r w:rsidRPr="00EB0888">
        <w:rPr>
          <w:rFonts w:cstheme="minorHAnsi"/>
          <w:sz w:val="24"/>
          <w:szCs w:val="24"/>
        </w:rPr>
        <w:t xml:space="preserve">if a building permit applicant </w:t>
      </w:r>
      <w:r w:rsidR="00D81A25" w:rsidRPr="00EB0888">
        <w:rPr>
          <w:rFonts w:cstheme="minorHAnsi"/>
          <w:sz w:val="24"/>
          <w:szCs w:val="24"/>
        </w:rPr>
        <w:t>provides documentation detailing</w:t>
      </w:r>
      <w:r w:rsidRPr="00EB0888">
        <w:rPr>
          <w:rFonts w:cstheme="minorHAnsi"/>
          <w:sz w:val="24"/>
          <w:szCs w:val="24"/>
        </w:rPr>
        <w:t xml:space="preserve"> that the increased cost of utility service or on-site transformer capacity would exceed </w:t>
      </w:r>
      <w:r w:rsidR="007B0DB7" w:rsidRPr="00EB0888">
        <w:rPr>
          <w:rFonts w:cstheme="minorHAnsi"/>
          <w:sz w:val="24"/>
          <w:szCs w:val="24"/>
        </w:rPr>
        <w:t xml:space="preserve">an average of </w:t>
      </w:r>
      <w:r w:rsidRPr="00EB0888">
        <w:rPr>
          <w:rFonts w:cstheme="minorHAnsi"/>
          <w:sz w:val="24"/>
          <w:szCs w:val="24"/>
        </w:rPr>
        <w:t xml:space="preserve">$4,500 </w:t>
      </w:r>
      <w:r w:rsidR="007B0DB7" w:rsidRPr="00EB0888">
        <w:rPr>
          <w:rFonts w:cstheme="minorHAnsi"/>
          <w:sz w:val="24"/>
          <w:szCs w:val="24"/>
        </w:rPr>
        <w:t xml:space="preserve">among </w:t>
      </w:r>
      <w:r w:rsidRPr="00EB0888">
        <w:rPr>
          <w:rFonts w:cstheme="minorHAnsi"/>
          <w:sz w:val="24"/>
          <w:szCs w:val="24"/>
        </w:rPr>
        <w:t>parking space</w:t>
      </w:r>
      <w:r w:rsidR="007B0DB7" w:rsidRPr="00EB0888">
        <w:rPr>
          <w:rFonts w:cstheme="minorHAnsi"/>
          <w:sz w:val="24"/>
          <w:szCs w:val="24"/>
        </w:rPr>
        <w:t>s</w:t>
      </w:r>
      <w:r w:rsidRPr="00EB0888">
        <w:rPr>
          <w:rFonts w:cstheme="minorHAnsi"/>
          <w:sz w:val="24"/>
          <w:szCs w:val="24"/>
        </w:rPr>
        <w:t xml:space="preserve"> with </w:t>
      </w:r>
      <w:r w:rsidR="007B0DB7" w:rsidRPr="00EB0888">
        <w:rPr>
          <w:rFonts w:cstheme="minorHAnsi"/>
          <w:sz w:val="24"/>
          <w:szCs w:val="24"/>
        </w:rPr>
        <w:t>Level 2 EV Ready Circuits and Level 1 EV Ready Circuit</w:t>
      </w:r>
      <w:r w:rsidR="003E0891" w:rsidRPr="00EB0888">
        <w:rPr>
          <w:rFonts w:cstheme="minorHAnsi"/>
          <w:sz w:val="24"/>
          <w:szCs w:val="24"/>
        </w:rPr>
        <w:t>s</w:t>
      </w:r>
      <w:r w:rsidRPr="00EB0888">
        <w:rPr>
          <w:rFonts w:cstheme="minorHAnsi"/>
          <w:sz w:val="24"/>
          <w:szCs w:val="24"/>
        </w:rPr>
        <w:t>. If costs</w:t>
      </w:r>
      <w:r w:rsidR="003E0891" w:rsidRPr="00EB0888">
        <w:rPr>
          <w:rFonts w:cstheme="minorHAnsi"/>
          <w:sz w:val="24"/>
          <w:szCs w:val="24"/>
        </w:rPr>
        <w:t xml:space="preserve"> are found to</w:t>
      </w:r>
      <w:r w:rsidRPr="00EB0888">
        <w:rPr>
          <w:rFonts w:cstheme="minorHAnsi"/>
          <w:sz w:val="24"/>
          <w:szCs w:val="24"/>
        </w:rPr>
        <w:t xml:space="preserve"> exceed this level, the applicant shall provide EV infrastructure up to a level that would not exceed this cost for utility service or on-site transformer capacity.</w:t>
      </w:r>
    </w:p>
    <w:p w14:paraId="0F3417B1" w14:textId="77777777" w:rsidR="00184804" w:rsidRPr="00EB0888" w:rsidRDefault="00184804" w:rsidP="00AB4132">
      <w:pPr>
        <w:rPr>
          <w:rFonts w:asciiTheme="minorHAnsi" w:hAnsiTheme="minorHAnsi" w:cstheme="minorHAnsi"/>
        </w:rPr>
      </w:pPr>
    </w:p>
    <w:p w14:paraId="74327559" w14:textId="2DA2509E" w:rsidR="00A604EB" w:rsidRPr="00EB0888" w:rsidRDefault="00A604EB" w:rsidP="00F34674">
      <w:pPr>
        <w:ind w:left="1080"/>
        <w:rPr>
          <w:rFonts w:asciiTheme="minorHAnsi" w:hAnsiTheme="minorHAnsi" w:cstheme="minorHAnsi"/>
        </w:rPr>
      </w:pPr>
      <w:r w:rsidRPr="00EB0888">
        <w:rPr>
          <w:rFonts w:asciiTheme="minorHAnsi" w:hAnsiTheme="minorHAnsi" w:cstheme="minorHAnsi"/>
          <w:b/>
        </w:rPr>
        <w:t>4.106.4.2.1</w:t>
      </w:r>
      <w:r w:rsidR="00EA35B9" w:rsidRPr="00EB0888">
        <w:rPr>
          <w:rFonts w:asciiTheme="minorHAnsi" w:hAnsiTheme="minorHAnsi" w:cstheme="minorHAnsi"/>
          <w:b/>
        </w:rPr>
        <w:t>.1</w:t>
      </w:r>
      <w:r w:rsidRPr="00EB0888">
        <w:rPr>
          <w:rFonts w:asciiTheme="minorHAnsi" w:hAnsiTheme="minorHAnsi" w:cstheme="minorHAnsi"/>
          <w:b/>
        </w:rPr>
        <w:t xml:space="preserve"> Electric vehicle charging</w:t>
      </w:r>
      <w:r w:rsidR="00EB2003" w:rsidRPr="00EB0888">
        <w:rPr>
          <w:rFonts w:asciiTheme="minorHAnsi" w:hAnsiTheme="minorHAnsi" w:cstheme="minorHAnsi"/>
          <w:b/>
        </w:rPr>
        <w:t xml:space="preserve"> </w:t>
      </w:r>
      <w:r w:rsidRPr="00EB0888">
        <w:rPr>
          <w:rFonts w:asciiTheme="minorHAnsi" w:hAnsiTheme="minorHAnsi" w:cstheme="minorHAnsi"/>
          <w:b/>
        </w:rPr>
        <w:t>stations (EVCS).</w:t>
      </w:r>
      <w:r w:rsidRPr="00EB0888">
        <w:rPr>
          <w:rFonts w:asciiTheme="minorHAnsi" w:hAnsiTheme="minorHAnsi" w:cstheme="minorHAnsi"/>
        </w:rPr>
        <w:t xml:space="preserve"> </w:t>
      </w:r>
      <w:r w:rsidR="006B1EDA" w:rsidRPr="00EB0888">
        <w:rPr>
          <w:rFonts w:asciiTheme="minorHAnsi" w:hAnsiTheme="minorHAnsi" w:cstheme="minorHAnsi"/>
        </w:rPr>
        <w:t>When EV chargers are installed, EV spaces required by Section 4.106.4.2.2, Item 3, shall comply with at least one of the following options:</w:t>
      </w:r>
    </w:p>
    <w:p w14:paraId="4ECCCF37" w14:textId="7E3F3B0A" w:rsidR="00A604EB" w:rsidRPr="00EB0888" w:rsidRDefault="006B1EDA" w:rsidP="006936CE">
      <w:pPr>
        <w:pStyle w:val="ListParagraph"/>
        <w:numPr>
          <w:ilvl w:val="0"/>
          <w:numId w:val="27"/>
        </w:numPr>
        <w:contextualSpacing w:val="0"/>
        <w:rPr>
          <w:rFonts w:cstheme="minorHAnsi"/>
          <w:sz w:val="24"/>
          <w:szCs w:val="24"/>
        </w:rPr>
      </w:pPr>
      <w:r w:rsidRPr="00EB0888">
        <w:rPr>
          <w:rFonts w:cstheme="minorHAnsi"/>
          <w:sz w:val="24"/>
          <w:szCs w:val="24"/>
        </w:rPr>
        <w:t xml:space="preserve">The EV space shall be located adjacent to an accessible parking space meeting the requirements of the </w:t>
      </w:r>
      <w:r w:rsidRPr="00EB0888">
        <w:rPr>
          <w:rFonts w:cstheme="minorHAnsi"/>
          <w:i/>
          <w:iCs/>
          <w:sz w:val="24"/>
          <w:szCs w:val="24"/>
        </w:rPr>
        <w:t>California Building Code</w:t>
      </w:r>
      <w:r w:rsidRPr="00EB0888">
        <w:rPr>
          <w:rFonts w:cstheme="minorHAnsi"/>
          <w:sz w:val="24"/>
          <w:szCs w:val="24"/>
        </w:rPr>
        <w:t>, Chapter 11A, to allow use of the EV charger from the accessible parking space.</w:t>
      </w:r>
    </w:p>
    <w:p w14:paraId="223662CC" w14:textId="55BAEDBF" w:rsidR="006B1EDA" w:rsidRPr="00EB0888" w:rsidRDefault="006B1EDA" w:rsidP="006936CE">
      <w:pPr>
        <w:pStyle w:val="ListParagraph"/>
        <w:numPr>
          <w:ilvl w:val="0"/>
          <w:numId w:val="27"/>
        </w:numPr>
        <w:contextualSpacing w:val="0"/>
        <w:rPr>
          <w:rFonts w:cstheme="minorHAnsi"/>
          <w:sz w:val="24"/>
          <w:szCs w:val="24"/>
        </w:rPr>
      </w:pPr>
      <w:r w:rsidRPr="00EB0888">
        <w:rPr>
          <w:rFonts w:cstheme="minorHAnsi"/>
          <w:sz w:val="24"/>
          <w:szCs w:val="24"/>
        </w:rPr>
        <w:t xml:space="preserve">The EV space shall be located on an accessible route, as defined in the </w:t>
      </w:r>
      <w:r w:rsidRPr="00EB0888">
        <w:rPr>
          <w:rFonts w:cstheme="minorHAnsi"/>
          <w:i/>
          <w:iCs/>
          <w:sz w:val="24"/>
          <w:szCs w:val="24"/>
        </w:rPr>
        <w:t>California Building Code</w:t>
      </w:r>
      <w:r w:rsidRPr="00EB0888">
        <w:rPr>
          <w:rFonts w:cstheme="minorHAnsi"/>
          <w:sz w:val="24"/>
          <w:szCs w:val="24"/>
        </w:rPr>
        <w:t>, Chapter 2, to the building.</w:t>
      </w:r>
    </w:p>
    <w:p w14:paraId="208F74FB" w14:textId="77777777" w:rsidR="00184804" w:rsidRPr="00EB0888" w:rsidRDefault="00184804" w:rsidP="00F34674">
      <w:pPr>
        <w:ind w:left="1080"/>
        <w:rPr>
          <w:rFonts w:asciiTheme="minorHAnsi" w:hAnsiTheme="minorHAnsi" w:cstheme="minorHAnsi"/>
        </w:rPr>
      </w:pPr>
    </w:p>
    <w:p w14:paraId="67341128" w14:textId="3A877DA7" w:rsidR="00157FD6" w:rsidRPr="00EB0888" w:rsidRDefault="00A604EB" w:rsidP="00F34674">
      <w:pPr>
        <w:ind w:left="1440"/>
        <w:rPr>
          <w:rFonts w:asciiTheme="minorHAnsi" w:hAnsiTheme="minorHAnsi" w:cstheme="minorHAnsi"/>
        </w:rPr>
      </w:pPr>
      <w:r w:rsidRPr="00EB0888">
        <w:rPr>
          <w:rFonts w:asciiTheme="minorHAnsi" w:hAnsiTheme="minorHAnsi" w:cstheme="minorHAnsi"/>
          <w:b/>
        </w:rPr>
        <w:t xml:space="preserve">Exception: </w:t>
      </w:r>
      <w:r w:rsidRPr="00EB0888">
        <w:rPr>
          <w:rFonts w:asciiTheme="minorHAnsi" w:hAnsiTheme="minorHAnsi" w:cstheme="minorHAnsi"/>
        </w:rPr>
        <w:t>Electric vehicle charging stations designed and constructed in compliance with the California Building Code, Chapter 11B, are not required to comply with Section 4.106.4.2.1.1 and Section 4.106.4.2.2, Item 3.</w:t>
      </w:r>
    </w:p>
    <w:p w14:paraId="7AEC398B" w14:textId="77777777" w:rsidR="00184804" w:rsidRPr="00EB0888" w:rsidRDefault="00184804" w:rsidP="00F34674">
      <w:pPr>
        <w:ind w:left="1440"/>
        <w:rPr>
          <w:rFonts w:asciiTheme="minorHAnsi" w:hAnsiTheme="minorHAnsi" w:cstheme="minorHAnsi"/>
        </w:rPr>
      </w:pPr>
    </w:p>
    <w:p w14:paraId="0C64B2C6" w14:textId="53688D72" w:rsidR="00A604EB" w:rsidRPr="00EB0888" w:rsidRDefault="00157FD6" w:rsidP="00F34674">
      <w:pPr>
        <w:ind w:left="1440"/>
        <w:rPr>
          <w:rFonts w:asciiTheme="minorHAnsi" w:hAnsiTheme="minorHAnsi" w:cstheme="minorHAnsi"/>
        </w:rPr>
      </w:pPr>
      <w:r w:rsidRPr="00EB0888">
        <w:rPr>
          <w:rFonts w:asciiTheme="minorHAnsi" w:hAnsiTheme="minorHAnsi" w:cstheme="minorHAnsi"/>
          <w:b/>
        </w:rPr>
        <w:t>Note</w:t>
      </w:r>
      <w:r w:rsidRPr="00EB0888">
        <w:rPr>
          <w:rFonts w:asciiTheme="minorHAnsi" w:hAnsiTheme="minorHAnsi" w:cstheme="minorHAnsi"/>
        </w:rPr>
        <w:t>: The Division of the State Architect provides guidance on exempt</w:t>
      </w:r>
      <w:r w:rsidR="008E425A" w:rsidRPr="00EB0888">
        <w:rPr>
          <w:rFonts w:asciiTheme="minorHAnsi" w:hAnsiTheme="minorHAnsi" w:cstheme="minorHAnsi"/>
        </w:rPr>
        <w:t>ions</w:t>
      </w:r>
      <w:r w:rsidRPr="00EB0888">
        <w:rPr>
          <w:rFonts w:asciiTheme="minorHAnsi" w:hAnsiTheme="minorHAnsi" w:cstheme="minorHAnsi"/>
        </w:rPr>
        <w:t xml:space="preserve"> from Chapter 11B </w:t>
      </w:r>
      <w:r w:rsidR="005F5138" w:rsidRPr="00EB0888">
        <w:rPr>
          <w:rFonts w:asciiTheme="minorHAnsi" w:hAnsiTheme="minorHAnsi" w:cstheme="minorHAnsi"/>
        </w:rPr>
        <w:t xml:space="preserve">EV infrastructure </w:t>
      </w:r>
      <w:r w:rsidRPr="00EB0888">
        <w:rPr>
          <w:rFonts w:asciiTheme="minorHAnsi" w:hAnsiTheme="minorHAnsi" w:cstheme="minorHAnsi"/>
        </w:rPr>
        <w:t>accessibility requirements</w:t>
      </w:r>
      <w:r w:rsidR="008E425A" w:rsidRPr="00EB0888">
        <w:rPr>
          <w:rFonts w:asciiTheme="minorHAnsi" w:hAnsiTheme="minorHAnsi" w:cstheme="minorHAnsi"/>
        </w:rPr>
        <w:t>, such as buildings that are not subject to Chapter 11B and assigned parking spaces at buildings</w:t>
      </w:r>
      <w:r w:rsidR="006B3934" w:rsidRPr="00EB0888">
        <w:rPr>
          <w:rFonts w:asciiTheme="minorHAnsi" w:hAnsiTheme="minorHAnsi" w:cstheme="minorHAnsi"/>
        </w:rPr>
        <w:t xml:space="preserve"> that are</w:t>
      </w:r>
      <w:r w:rsidR="008E425A" w:rsidRPr="00EB0888">
        <w:rPr>
          <w:rFonts w:asciiTheme="minorHAnsi" w:hAnsiTheme="minorHAnsi" w:cstheme="minorHAnsi"/>
        </w:rPr>
        <w:t xml:space="preserve"> subject to Chapter 11B</w:t>
      </w:r>
      <w:r w:rsidRPr="00EB0888">
        <w:rPr>
          <w:rFonts w:asciiTheme="minorHAnsi" w:hAnsiTheme="minorHAnsi" w:cstheme="minorHAnsi"/>
        </w:rPr>
        <w:t>.</w:t>
      </w:r>
    </w:p>
    <w:p w14:paraId="6D07234E" w14:textId="77777777" w:rsidR="00184804" w:rsidRPr="00EB0888" w:rsidRDefault="00184804" w:rsidP="00F34674">
      <w:pPr>
        <w:ind w:left="1440"/>
        <w:rPr>
          <w:rFonts w:asciiTheme="minorHAnsi" w:hAnsiTheme="minorHAnsi" w:cstheme="minorHAnsi"/>
        </w:rPr>
      </w:pPr>
    </w:p>
    <w:p w14:paraId="0E2B0297" w14:textId="7F3F8C61" w:rsidR="006B1EDA" w:rsidRPr="00EB0888" w:rsidRDefault="006B1EDA" w:rsidP="00581CD8">
      <w:pPr>
        <w:ind w:left="1080"/>
        <w:rPr>
          <w:rFonts w:asciiTheme="minorHAnsi" w:hAnsiTheme="minorHAnsi" w:cstheme="minorHAnsi"/>
        </w:rPr>
      </w:pPr>
      <w:r w:rsidRPr="00EB0888">
        <w:rPr>
          <w:rFonts w:asciiTheme="minorHAnsi" w:hAnsiTheme="minorHAnsi" w:cstheme="minorHAnsi"/>
          <w:b/>
        </w:rPr>
        <w:t>4.106.4.2.2</w:t>
      </w:r>
      <w:r w:rsidRPr="00EB0888">
        <w:rPr>
          <w:rFonts w:asciiTheme="minorHAnsi" w:hAnsiTheme="minorHAnsi" w:cstheme="minorHAnsi"/>
          <w:b/>
        </w:rPr>
        <w:tab/>
        <w:t>Electric vehicle charging space (EV space) dimensions</w:t>
      </w:r>
      <w:r w:rsidRPr="00EB0888">
        <w:rPr>
          <w:rFonts w:asciiTheme="minorHAnsi" w:hAnsiTheme="minorHAnsi" w:cstheme="minorHAnsi"/>
        </w:rPr>
        <w:t>. The EV spaces shall be designed to comply with the following:</w:t>
      </w:r>
    </w:p>
    <w:p w14:paraId="230F1839" w14:textId="415CB56E" w:rsidR="006B1EDA" w:rsidRPr="00EB0888" w:rsidRDefault="006B1EDA" w:rsidP="002C4783">
      <w:pPr>
        <w:pStyle w:val="ListParagraph"/>
        <w:numPr>
          <w:ilvl w:val="0"/>
          <w:numId w:val="25"/>
        </w:numPr>
        <w:contextualSpacing w:val="0"/>
        <w:rPr>
          <w:rFonts w:cstheme="minorHAnsi"/>
          <w:sz w:val="24"/>
          <w:szCs w:val="24"/>
        </w:rPr>
      </w:pPr>
      <w:r w:rsidRPr="00EB0888">
        <w:rPr>
          <w:rFonts w:cstheme="minorHAnsi"/>
          <w:sz w:val="24"/>
          <w:szCs w:val="24"/>
        </w:rPr>
        <w:t>The minimum length of each EV space shall be 18 feet (5486 mm).</w:t>
      </w:r>
    </w:p>
    <w:p w14:paraId="1521137C" w14:textId="58191CAC" w:rsidR="006B1EDA" w:rsidRPr="00EB0888" w:rsidRDefault="006B1EDA" w:rsidP="002C4783">
      <w:pPr>
        <w:pStyle w:val="ListParagraph"/>
        <w:numPr>
          <w:ilvl w:val="0"/>
          <w:numId w:val="25"/>
        </w:numPr>
        <w:contextualSpacing w:val="0"/>
        <w:rPr>
          <w:rFonts w:cstheme="minorHAnsi"/>
          <w:sz w:val="24"/>
          <w:szCs w:val="24"/>
        </w:rPr>
      </w:pPr>
      <w:r w:rsidRPr="00EB0888">
        <w:rPr>
          <w:rFonts w:cstheme="minorHAnsi"/>
          <w:sz w:val="24"/>
          <w:szCs w:val="24"/>
        </w:rPr>
        <w:t>The minimum width of each EV space shall be 9 feet (2743 mm).</w:t>
      </w:r>
    </w:p>
    <w:p w14:paraId="5B2DBF3A" w14:textId="312EB739" w:rsidR="006B1EDA" w:rsidRPr="00EB0888" w:rsidRDefault="006B1EDA" w:rsidP="002C4783">
      <w:pPr>
        <w:pStyle w:val="ListParagraph"/>
        <w:numPr>
          <w:ilvl w:val="0"/>
          <w:numId w:val="25"/>
        </w:numPr>
        <w:contextualSpacing w:val="0"/>
        <w:rPr>
          <w:rFonts w:cstheme="minorHAnsi"/>
          <w:sz w:val="24"/>
          <w:szCs w:val="24"/>
        </w:rPr>
      </w:pPr>
      <w:r w:rsidRPr="00EB0888">
        <w:rPr>
          <w:rFonts w:cstheme="minorHAnsi"/>
          <w:sz w:val="24"/>
          <w:szCs w:val="24"/>
        </w:rPr>
        <w:t>One in every 25 EV spaces, but not less than one, shall also have an 8-foot (2438 mm) wide minimum aisle. A 5-foot (1524 mm) wide minimum aisle shall be permitted provided the minimum width of the EV space is 12 feet (3658 mm).</w:t>
      </w:r>
      <w:r w:rsidR="4A3B6534" w:rsidRPr="00EB0888">
        <w:rPr>
          <w:rFonts w:cstheme="minorHAnsi"/>
          <w:sz w:val="24"/>
          <w:szCs w:val="24"/>
        </w:rPr>
        <w:t xml:space="preserve"> </w:t>
      </w:r>
      <w:r w:rsidRPr="00EB0888">
        <w:rPr>
          <w:rFonts w:cstheme="minorHAnsi"/>
          <w:sz w:val="24"/>
          <w:szCs w:val="24"/>
        </w:rPr>
        <w:t xml:space="preserve">Surface slope for this EV space and the aisle shall not exceed 1 unit vertical in 48 units </w:t>
      </w:r>
    </w:p>
    <w:p w14:paraId="00222BAD" w14:textId="77777777" w:rsidR="00184804" w:rsidRPr="00EB0888" w:rsidRDefault="00184804" w:rsidP="001F626B">
      <w:pPr>
        <w:ind w:left="1080"/>
        <w:rPr>
          <w:rFonts w:asciiTheme="minorHAnsi" w:hAnsiTheme="minorHAnsi" w:cstheme="minorHAnsi"/>
        </w:rPr>
      </w:pPr>
    </w:p>
    <w:p w14:paraId="6ED1ECF9" w14:textId="6F4AE240" w:rsidR="00AE2B15" w:rsidRPr="00EB0888" w:rsidRDefault="001C2828">
      <w:pPr>
        <w:ind w:left="1080"/>
        <w:rPr>
          <w:rFonts w:asciiTheme="minorHAnsi" w:hAnsiTheme="minorHAnsi" w:cstheme="minorHAnsi"/>
          <w:color w:val="000000" w:themeColor="text1"/>
          <w:vertAlign w:val="superscript"/>
        </w:rPr>
      </w:pPr>
      <w:r w:rsidRPr="00EB0888">
        <w:rPr>
          <w:rFonts w:asciiTheme="minorHAnsi" w:hAnsiTheme="minorHAnsi" w:cstheme="minorHAnsi"/>
          <w:b/>
          <w:bCs/>
        </w:rPr>
        <w:t>4.106.4.2.</w:t>
      </w:r>
      <w:r w:rsidR="00157FD6" w:rsidRPr="00EB0888">
        <w:rPr>
          <w:rFonts w:asciiTheme="minorHAnsi" w:hAnsiTheme="minorHAnsi" w:cstheme="minorHAnsi"/>
          <w:b/>
          <w:bCs/>
        </w:rPr>
        <w:t>3</w:t>
      </w:r>
      <w:r w:rsidR="00654F01" w:rsidRPr="00EB0888">
        <w:rPr>
          <w:rFonts w:asciiTheme="minorHAnsi" w:hAnsiTheme="minorHAnsi" w:cstheme="minorHAnsi"/>
          <w:b/>
        </w:rPr>
        <w:tab/>
      </w:r>
      <w:r w:rsidR="00654F01" w:rsidRPr="00EB0888">
        <w:rPr>
          <w:rFonts w:asciiTheme="minorHAnsi" w:hAnsiTheme="minorHAnsi" w:cstheme="minorHAnsi"/>
          <w:b/>
          <w:bCs/>
        </w:rPr>
        <w:t>Good Design Practices</w:t>
      </w:r>
      <w:r w:rsidR="00654F01" w:rsidRPr="00EB0888">
        <w:rPr>
          <w:rFonts w:asciiTheme="minorHAnsi" w:hAnsiTheme="minorHAnsi" w:cstheme="minorHAnsi"/>
        </w:rPr>
        <w:t xml:space="preserve">. </w:t>
      </w:r>
      <w:r w:rsidRPr="00EB0888">
        <w:rPr>
          <w:rFonts w:asciiTheme="minorHAnsi" w:hAnsiTheme="minorHAnsi" w:cstheme="minorHAnsi"/>
          <w:color w:val="313335"/>
        </w:rPr>
        <w:t xml:space="preserve">For all projects subject to </w:t>
      </w:r>
      <w:r w:rsidR="27AFFE73" w:rsidRPr="00EB0888">
        <w:rPr>
          <w:rFonts w:asciiTheme="minorHAnsi" w:hAnsiTheme="minorHAnsi" w:cstheme="minorHAnsi"/>
          <w:color w:val="000000" w:themeColor="text1"/>
        </w:rPr>
        <w:t xml:space="preserve">California Code of Regulations </w:t>
      </w:r>
      <w:r w:rsidR="009C0837" w:rsidRPr="00EB0888">
        <w:rPr>
          <w:rFonts w:asciiTheme="minorHAnsi" w:hAnsiTheme="minorHAnsi" w:cstheme="minorHAnsi"/>
          <w:color w:val="313335"/>
        </w:rPr>
        <w:t>Title 24</w:t>
      </w:r>
      <w:r w:rsidRPr="00EB0888">
        <w:rPr>
          <w:rFonts w:asciiTheme="minorHAnsi" w:hAnsiTheme="minorHAnsi" w:cstheme="minorHAnsi"/>
          <w:color w:val="313335"/>
        </w:rPr>
        <w:t>,</w:t>
      </w:r>
      <w:r w:rsidR="00176820" w:rsidRPr="00EB0888">
        <w:rPr>
          <w:rFonts w:asciiTheme="minorHAnsi" w:hAnsiTheme="minorHAnsi" w:cstheme="minorHAnsi"/>
          <w:color w:val="313335"/>
        </w:rPr>
        <w:t xml:space="preserve"> Part 2,</w:t>
      </w:r>
      <w:r w:rsidRPr="00EB0888">
        <w:rPr>
          <w:rFonts w:asciiTheme="minorHAnsi" w:hAnsiTheme="minorHAnsi" w:cstheme="minorHAnsi"/>
          <w:color w:val="313335"/>
        </w:rPr>
        <w:t xml:space="preserve"> </w:t>
      </w:r>
      <w:r w:rsidR="003438B4" w:rsidRPr="00EB0888">
        <w:rPr>
          <w:rFonts w:asciiTheme="minorHAnsi" w:hAnsiTheme="minorHAnsi" w:cstheme="minorHAnsi"/>
          <w:color w:val="313335"/>
        </w:rPr>
        <w:t xml:space="preserve">Chapter </w:t>
      </w:r>
      <w:r w:rsidRPr="00EB0888">
        <w:rPr>
          <w:rFonts w:asciiTheme="minorHAnsi" w:hAnsiTheme="minorHAnsi" w:cstheme="minorHAnsi"/>
          <w:color w:val="313335"/>
        </w:rPr>
        <w:t>11B,</w:t>
      </w:r>
      <w:r w:rsidRPr="00EB0888">
        <w:rPr>
          <w:rFonts w:asciiTheme="minorHAnsi" w:hAnsiTheme="minorHAnsi" w:cstheme="minorHAnsi"/>
          <w:color w:val="000000"/>
        </w:rPr>
        <w:t xml:space="preserve"> construction documents shall indicate how many accessible EVCS would be required </w:t>
      </w:r>
      <w:r w:rsidR="27AFFE73" w:rsidRPr="00EB0888">
        <w:rPr>
          <w:rFonts w:asciiTheme="minorHAnsi" w:hAnsiTheme="minorHAnsi" w:cstheme="minorHAnsi"/>
          <w:color w:val="000000"/>
        </w:rPr>
        <w:t xml:space="preserve">as per </w:t>
      </w:r>
      <w:r w:rsidRPr="00EB0888">
        <w:rPr>
          <w:rFonts w:asciiTheme="minorHAnsi" w:hAnsiTheme="minorHAnsi" w:cstheme="minorHAnsi"/>
          <w:color w:val="000000"/>
        </w:rPr>
        <w:t xml:space="preserve">Title 24, Chapter 11B to convert all </w:t>
      </w:r>
      <w:r w:rsidR="00FC215B" w:rsidRPr="00EB0888">
        <w:rPr>
          <w:rFonts w:asciiTheme="minorHAnsi" w:hAnsiTheme="minorHAnsi" w:cstheme="minorHAnsi"/>
          <w:color w:val="000000"/>
        </w:rPr>
        <w:t xml:space="preserve">Level 2 </w:t>
      </w:r>
      <w:r w:rsidRPr="00EB0888">
        <w:rPr>
          <w:rFonts w:asciiTheme="minorHAnsi" w:hAnsiTheme="minorHAnsi" w:cstheme="minorHAnsi"/>
          <w:color w:val="000000"/>
        </w:rPr>
        <w:t>EV</w:t>
      </w:r>
      <w:r w:rsidR="002D2442" w:rsidRPr="00EB0888">
        <w:rPr>
          <w:rFonts w:asciiTheme="minorHAnsi" w:hAnsiTheme="minorHAnsi" w:cstheme="minorHAnsi"/>
          <w:color w:val="000000"/>
        </w:rPr>
        <w:t xml:space="preserve"> </w:t>
      </w:r>
      <w:r w:rsidRPr="00EB0888">
        <w:rPr>
          <w:rFonts w:asciiTheme="minorHAnsi" w:hAnsiTheme="minorHAnsi" w:cstheme="minorHAnsi"/>
          <w:color w:val="000000"/>
        </w:rPr>
        <w:t xml:space="preserve">Ready </w:t>
      </w:r>
      <w:r w:rsidR="00FC215B" w:rsidRPr="00EB0888">
        <w:rPr>
          <w:rFonts w:asciiTheme="minorHAnsi" w:hAnsiTheme="minorHAnsi" w:cstheme="minorHAnsi"/>
          <w:color w:val="000000"/>
        </w:rPr>
        <w:t xml:space="preserve">Circuits </w:t>
      </w:r>
      <w:r w:rsidRPr="00EB0888">
        <w:rPr>
          <w:rFonts w:asciiTheme="minorHAnsi" w:hAnsiTheme="minorHAnsi" w:cstheme="minorHAnsi"/>
          <w:color w:val="000000"/>
        </w:rPr>
        <w:t xml:space="preserve">required under </w:t>
      </w:r>
      <w:r w:rsidR="00414AE0" w:rsidRPr="00EB0888">
        <w:rPr>
          <w:rFonts w:asciiTheme="minorHAnsi" w:hAnsiTheme="minorHAnsi" w:cstheme="minorHAnsi"/>
          <w:color w:val="000000"/>
        </w:rPr>
        <w:t>section 4.106.4</w:t>
      </w:r>
      <w:r w:rsidRPr="00EB0888">
        <w:rPr>
          <w:rFonts w:asciiTheme="minorHAnsi" w:hAnsiTheme="minorHAnsi" w:cstheme="minorHAnsi"/>
          <w:color w:val="000000"/>
        </w:rPr>
        <w:t xml:space="preserve"> to EVCS. Construction documents shall also demonstrate that the facility is designed such that compliance with accessibility standards, including </w:t>
      </w:r>
      <w:r w:rsidR="003438B4" w:rsidRPr="00EB0888">
        <w:rPr>
          <w:rFonts w:asciiTheme="minorHAnsi" w:hAnsiTheme="minorHAnsi" w:cstheme="minorHAnsi"/>
          <w:color w:val="000000"/>
        </w:rPr>
        <w:t xml:space="preserve">Chapter </w:t>
      </w:r>
      <w:r w:rsidRPr="00EB0888">
        <w:rPr>
          <w:rFonts w:asciiTheme="minorHAnsi" w:hAnsiTheme="minorHAnsi" w:cstheme="minorHAnsi"/>
          <w:color w:val="000000"/>
        </w:rPr>
        <w:t xml:space="preserve">11B accessible routes, will be feasible for the required accessible EVCS at the time of EVCS installation. Surface slope for any area designated for accessible EVCS shall meet slope requirements in </w:t>
      </w:r>
      <w:r w:rsidR="00176820" w:rsidRPr="00EB0888">
        <w:rPr>
          <w:rFonts w:asciiTheme="minorHAnsi" w:hAnsiTheme="minorHAnsi" w:cstheme="minorHAnsi"/>
          <w:color w:val="000000"/>
        </w:rPr>
        <w:t>Chapter</w:t>
      </w:r>
      <w:r w:rsidRPr="00EB0888">
        <w:rPr>
          <w:rFonts w:asciiTheme="minorHAnsi" w:hAnsiTheme="minorHAnsi" w:cstheme="minorHAnsi"/>
          <w:color w:val="000000"/>
        </w:rPr>
        <w:t xml:space="preserve"> </w:t>
      </w:r>
      <w:r w:rsidRPr="00EB0888">
        <w:rPr>
          <w:rFonts w:asciiTheme="minorHAnsi" w:hAnsiTheme="minorHAnsi" w:cstheme="minorHAnsi"/>
          <w:color w:val="000000"/>
        </w:rPr>
        <w:lastRenderedPageBreak/>
        <w:t xml:space="preserve">11B and vertical clearance requirements in </w:t>
      </w:r>
      <w:r w:rsidR="003438B4" w:rsidRPr="00EB0888">
        <w:rPr>
          <w:rFonts w:asciiTheme="minorHAnsi" w:hAnsiTheme="minorHAnsi" w:cstheme="minorHAnsi"/>
          <w:color w:val="000000"/>
        </w:rPr>
        <w:t>Chapter</w:t>
      </w:r>
      <w:r w:rsidRPr="00EB0888">
        <w:rPr>
          <w:rFonts w:asciiTheme="minorHAnsi" w:hAnsiTheme="minorHAnsi" w:cstheme="minorHAnsi"/>
          <w:color w:val="000000"/>
        </w:rPr>
        <w:t xml:space="preserve"> 11B at the time of original building construction.</w:t>
      </w:r>
      <w:r w:rsidR="00AE2B15" w:rsidRPr="00EB0888">
        <w:rPr>
          <w:rFonts w:asciiTheme="minorHAnsi" w:hAnsiTheme="minorHAnsi" w:cstheme="minorHAnsi"/>
          <w:color w:val="000000"/>
          <w:vertAlign w:val="superscript"/>
        </w:rPr>
        <w:t>1</w:t>
      </w:r>
    </w:p>
    <w:p w14:paraId="7FC2EC57" w14:textId="77777777" w:rsidR="00184804" w:rsidRPr="00EB0888" w:rsidRDefault="00184804" w:rsidP="00581CD8">
      <w:pPr>
        <w:ind w:left="1440"/>
        <w:rPr>
          <w:rFonts w:asciiTheme="minorHAnsi" w:hAnsiTheme="minorHAnsi" w:cstheme="minorHAnsi"/>
          <w:b/>
        </w:rPr>
      </w:pPr>
    </w:p>
    <w:p w14:paraId="3CB54C07" w14:textId="0EA58A9A" w:rsidR="000627BD" w:rsidRPr="00EB0888" w:rsidRDefault="00AE2B15" w:rsidP="00581CD8">
      <w:pPr>
        <w:ind w:left="1440"/>
        <w:rPr>
          <w:rFonts w:asciiTheme="minorHAnsi" w:hAnsiTheme="minorHAnsi" w:cstheme="minorHAnsi"/>
          <w:color w:val="000000"/>
          <w:vertAlign w:val="superscript"/>
        </w:rPr>
      </w:pPr>
      <w:r w:rsidRPr="00EB0888">
        <w:rPr>
          <w:rFonts w:asciiTheme="minorHAnsi" w:hAnsiTheme="minorHAnsi" w:cstheme="minorHAnsi"/>
          <w:b/>
        </w:rPr>
        <w:t>Note:</w:t>
      </w:r>
      <w:r w:rsidR="00205292" w:rsidRPr="00EB0888">
        <w:rPr>
          <w:rFonts w:asciiTheme="minorHAnsi" w:hAnsiTheme="minorHAnsi" w:cstheme="minorHAnsi"/>
          <w:b/>
        </w:rPr>
        <w:t xml:space="preserve"> </w:t>
      </w:r>
      <w:r w:rsidR="005440E9" w:rsidRPr="00EB0888">
        <w:rPr>
          <w:rFonts w:asciiTheme="minorHAnsi" w:hAnsiTheme="minorHAnsi" w:cstheme="minorHAnsi"/>
          <w:color w:val="000000"/>
        </w:rPr>
        <w:t xml:space="preserve"> Section</w:t>
      </w:r>
      <w:r w:rsidR="00654F01" w:rsidRPr="00EB0888">
        <w:rPr>
          <w:rFonts w:asciiTheme="minorHAnsi" w:hAnsiTheme="minorHAnsi" w:cstheme="minorHAnsi"/>
          <w:color w:val="000000"/>
        </w:rPr>
        <w:t>11B-812 of the 2016 California Building Code requires that a facility providing EVCS for public and common use also provide</w:t>
      </w:r>
      <w:r w:rsidR="001A3BE7" w:rsidRPr="00EB0888">
        <w:rPr>
          <w:rFonts w:asciiTheme="minorHAnsi" w:hAnsiTheme="minorHAnsi" w:cstheme="minorHAnsi"/>
          <w:color w:val="000000"/>
        </w:rPr>
        <w:t>s</w:t>
      </w:r>
      <w:r w:rsidR="00654F01" w:rsidRPr="00EB0888">
        <w:rPr>
          <w:rFonts w:asciiTheme="minorHAnsi" w:hAnsiTheme="minorHAnsi" w:cstheme="minorHAnsi"/>
          <w:color w:val="000000"/>
        </w:rPr>
        <w:t xml:space="preserve"> one or more accessible EVCS as specified in Table 11B-228.3.2.1. Chapter 11B applies to certain facilities including, but not limited to, public accommodations and publicly funded housing (see </w:t>
      </w:r>
      <w:r w:rsidR="00176820" w:rsidRPr="00EB0888">
        <w:rPr>
          <w:rFonts w:asciiTheme="minorHAnsi" w:hAnsiTheme="minorHAnsi" w:cstheme="minorHAnsi"/>
          <w:color w:val="000000"/>
        </w:rPr>
        <w:t>Section</w:t>
      </w:r>
      <w:r w:rsidR="00654F01" w:rsidRPr="00EB0888">
        <w:rPr>
          <w:rFonts w:asciiTheme="minorHAnsi" w:hAnsiTheme="minorHAnsi" w:cstheme="minorHAnsi"/>
          <w:color w:val="000000"/>
        </w:rPr>
        <w:t xml:space="preserve"> 1.9 of Part 2 of the California Building Code). </w:t>
      </w:r>
      <w:r w:rsidR="00396F92" w:rsidRPr="00EB0888">
        <w:rPr>
          <w:rFonts w:asciiTheme="minorHAnsi" w:hAnsiTheme="minorHAnsi" w:cstheme="minorHAnsi"/>
          <w:color w:val="000000"/>
        </w:rPr>
        <w:t>Section</w:t>
      </w:r>
      <w:r w:rsidR="00654F01" w:rsidRPr="00EB0888">
        <w:rPr>
          <w:rFonts w:asciiTheme="minorHAnsi" w:hAnsiTheme="minorHAnsi" w:cstheme="minorHAnsi"/>
          <w:color w:val="000000"/>
        </w:rPr>
        <w:t xml:space="preserve"> 11B-812 requires that “Parking spaces, access aisles and vehicular routes serving them shall provide a vertical clearance of 98 inches (2489 mm) minimum.” It also requires that parking spaces and access aisles meet maximum slope requirements of 1 unit vertical in 48 units horizontal (2.083 percent slope) in any direction at the time of new building construction or renovation. </w:t>
      </w:r>
      <w:r w:rsidR="00396F92" w:rsidRPr="00EB0888">
        <w:rPr>
          <w:rFonts w:asciiTheme="minorHAnsi" w:hAnsiTheme="minorHAnsi" w:cstheme="minorHAnsi"/>
          <w:color w:val="000000"/>
        </w:rPr>
        <w:t>Section</w:t>
      </w:r>
      <w:r w:rsidR="00654F01" w:rsidRPr="00EB0888">
        <w:rPr>
          <w:rFonts w:asciiTheme="minorHAnsi" w:hAnsiTheme="minorHAnsi" w:cstheme="minorHAnsi"/>
          <w:color w:val="000000"/>
        </w:rPr>
        <w:t xml:space="preserve"> 11B-812.5 contains accessible route requirements. In addition, </w:t>
      </w:r>
      <w:r w:rsidR="009C0837" w:rsidRPr="00EB0888">
        <w:rPr>
          <w:rFonts w:asciiTheme="minorHAnsi" w:hAnsiTheme="minorHAnsi" w:cstheme="minorHAnsi"/>
          <w:color w:val="000000"/>
        </w:rPr>
        <w:t>Title 24</w:t>
      </w:r>
      <w:r w:rsidR="00654F01" w:rsidRPr="00EB0888">
        <w:rPr>
          <w:rFonts w:asciiTheme="minorHAnsi" w:hAnsiTheme="minorHAnsi" w:cstheme="minorHAnsi"/>
          <w:color w:val="000000"/>
        </w:rPr>
        <w:t xml:space="preserve"> Part 11 Section 4.106.4.2 requires that developers meet certain aspects of accessibility requirements at the time of new construction for a limited number of parking spaces.</w:t>
      </w:r>
    </w:p>
    <w:p w14:paraId="5D7DE29D" w14:textId="24F3E463" w:rsidR="00C27A79" w:rsidRPr="00EB0888" w:rsidRDefault="00C27A79" w:rsidP="00AB4132">
      <w:pPr>
        <w:rPr>
          <w:rFonts w:asciiTheme="minorHAnsi" w:hAnsiTheme="minorHAnsi" w:cstheme="minorHAnsi"/>
          <w:b/>
        </w:rPr>
      </w:pPr>
    </w:p>
    <w:p w14:paraId="00435F67" w14:textId="02FFE346" w:rsidR="000627BD" w:rsidRPr="00EB0888" w:rsidRDefault="00A5789C" w:rsidP="000627BD">
      <w:pPr>
        <w:jc w:val="center"/>
        <w:rPr>
          <w:rFonts w:asciiTheme="minorHAnsi" w:hAnsiTheme="minorHAnsi" w:cstheme="minorHAnsi"/>
          <w:b/>
        </w:rPr>
      </w:pPr>
      <w:r w:rsidRPr="00EB0888">
        <w:rPr>
          <w:rFonts w:asciiTheme="minorHAnsi" w:hAnsiTheme="minorHAnsi" w:cstheme="minorHAnsi"/>
          <w:b/>
        </w:rPr>
        <w:t xml:space="preserve">SECTION </w:t>
      </w:r>
      <w:r w:rsidR="000627BD" w:rsidRPr="00EB0888">
        <w:rPr>
          <w:rFonts w:asciiTheme="minorHAnsi" w:hAnsiTheme="minorHAnsi" w:cstheme="minorHAnsi"/>
          <w:b/>
        </w:rPr>
        <w:t>5</w:t>
      </w:r>
    </w:p>
    <w:p w14:paraId="33AFA91E" w14:textId="77777777" w:rsidR="000627BD" w:rsidRPr="00EB0888" w:rsidRDefault="000627BD" w:rsidP="000627BD">
      <w:pPr>
        <w:jc w:val="center"/>
        <w:rPr>
          <w:rFonts w:asciiTheme="minorHAnsi" w:hAnsiTheme="minorHAnsi" w:cstheme="minorHAnsi"/>
          <w:b/>
        </w:rPr>
      </w:pPr>
      <w:r w:rsidRPr="00EB0888">
        <w:rPr>
          <w:rFonts w:asciiTheme="minorHAnsi" w:hAnsiTheme="minorHAnsi" w:cstheme="minorHAnsi"/>
          <w:b/>
        </w:rPr>
        <w:t>NONRESIDENTIAL MANDATORY MEASURES</w:t>
      </w:r>
    </w:p>
    <w:p w14:paraId="3B75CFAD" w14:textId="317D7F3A" w:rsidR="003B1154" w:rsidRPr="00EB0888" w:rsidRDefault="000627BD" w:rsidP="00A536BA">
      <w:pPr>
        <w:ind w:left="720"/>
        <w:rPr>
          <w:rFonts w:asciiTheme="minorHAnsi" w:hAnsiTheme="minorHAnsi" w:cstheme="minorHAnsi"/>
        </w:rPr>
      </w:pPr>
      <w:r w:rsidRPr="00EB0888">
        <w:rPr>
          <w:rFonts w:asciiTheme="minorHAnsi" w:hAnsiTheme="minorHAnsi" w:cstheme="minorHAnsi"/>
          <w:b/>
          <w:bCs/>
        </w:rPr>
        <w:t>5.106.5.3</w:t>
      </w:r>
      <w:r w:rsidR="2F67CED2" w:rsidRPr="00EB0888">
        <w:rPr>
          <w:rFonts w:asciiTheme="minorHAnsi" w:hAnsiTheme="minorHAnsi" w:cstheme="minorHAnsi"/>
          <w:b/>
          <w:bCs/>
        </w:rPr>
        <w:t xml:space="preserve"> </w:t>
      </w:r>
      <w:r w:rsidRPr="00EB0888">
        <w:rPr>
          <w:rFonts w:asciiTheme="minorHAnsi" w:hAnsiTheme="minorHAnsi" w:cstheme="minorHAnsi"/>
          <w:b/>
        </w:rPr>
        <w:tab/>
      </w:r>
      <w:r w:rsidRPr="00EB0888">
        <w:rPr>
          <w:rFonts w:asciiTheme="minorHAnsi" w:hAnsiTheme="minorHAnsi" w:cstheme="minorHAnsi"/>
          <w:b/>
          <w:bCs/>
        </w:rPr>
        <w:t>Electric vehicle (EV) charging</w:t>
      </w:r>
      <w:r w:rsidRPr="00EB0888">
        <w:rPr>
          <w:rFonts w:asciiTheme="minorHAnsi" w:hAnsiTheme="minorHAnsi" w:cstheme="minorHAnsi"/>
        </w:rPr>
        <w:t xml:space="preserve">. </w:t>
      </w:r>
      <w:r w:rsidR="003B1154" w:rsidRPr="00EB0888">
        <w:rPr>
          <w:rFonts w:asciiTheme="minorHAnsi" w:hAnsiTheme="minorHAnsi" w:cstheme="minorHAnsi"/>
        </w:rPr>
        <w:t>New construction shall comply with</w:t>
      </w:r>
      <w:r w:rsidR="00EA35B9" w:rsidRPr="00EB0888">
        <w:rPr>
          <w:rFonts w:asciiTheme="minorHAnsi" w:hAnsiTheme="minorHAnsi" w:cstheme="minorHAnsi"/>
        </w:rPr>
        <w:t xml:space="preserve"> Section 5.106.5.3.1 or Section 5.106.5.3.2 to </w:t>
      </w:r>
      <w:r w:rsidR="00514244" w:rsidRPr="00EB0888">
        <w:rPr>
          <w:rFonts w:asciiTheme="minorHAnsi" w:hAnsiTheme="minorHAnsi" w:cstheme="minorHAnsi"/>
        </w:rPr>
        <w:t>facilitate future installation and use of EV chargers.</w:t>
      </w:r>
    </w:p>
    <w:p w14:paraId="0B3FD5D7" w14:textId="77777777" w:rsidR="00184804" w:rsidRPr="00EB0888" w:rsidRDefault="00184804" w:rsidP="00205292">
      <w:pPr>
        <w:ind w:left="1080"/>
        <w:rPr>
          <w:rFonts w:asciiTheme="minorHAnsi" w:hAnsiTheme="minorHAnsi" w:cstheme="minorHAnsi"/>
          <w:b/>
          <w:bCs/>
        </w:rPr>
      </w:pPr>
    </w:p>
    <w:p w14:paraId="55C551A8" w14:textId="3F145CFB" w:rsidR="003B1154" w:rsidRPr="00EB0888" w:rsidRDefault="003B1154" w:rsidP="002C4783">
      <w:pPr>
        <w:ind w:left="1440"/>
        <w:rPr>
          <w:rFonts w:asciiTheme="minorHAnsi" w:hAnsiTheme="minorHAnsi" w:cstheme="minorHAnsi"/>
        </w:rPr>
      </w:pPr>
      <w:r w:rsidRPr="00EB0888">
        <w:rPr>
          <w:rFonts w:asciiTheme="minorHAnsi" w:hAnsiTheme="minorHAnsi" w:cstheme="minorHAnsi"/>
          <w:b/>
          <w:bCs/>
        </w:rPr>
        <w:t>Exception</w:t>
      </w:r>
      <w:r w:rsidR="000A4823" w:rsidRPr="00EB0888">
        <w:rPr>
          <w:rFonts w:asciiTheme="minorHAnsi" w:hAnsiTheme="minorHAnsi" w:cstheme="minorHAnsi"/>
        </w:rPr>
        <w:t xml:space="preserve">: </w:t>
      </w:r>
      <w:r w:rsidRPr="00EB0888">
        <w:rPr>
          <w:rFonts w:asciiTheme="minorHAnsi" w:hAnsiTheme="minorHAnsi" w:cstheme="minorHAnsi"/>
        </w:rPr>
        <w:t>Where there is no commercial power supply</w:t>
      </w:r>
      <w:r w:rsidR="2BD664E2" w:rsidRPr="00EB0888">
        <w:rPr>
          <w:rFonts w:asciiTheme="minorHAnsi" w:hAnsiTheme="minorHAnsi" w:cstheme="minorHAnsi"/>
        </w:rPr>
        <w:t>.</w:t>
      </w:r>
    </w:p>
    <w:p w14:paraId="321086E9" w14:textId="77777777" w:rsidR="00184804" w:rsidRPr="00EB0888" w:rsidRDefault="00184804" w:rsidP="002C4783">
      <w:pPr>
        <w:ind w:left="1440"/>
        <w:rPr>
          <w:rFonts w:asciiTheme="minorHAnsi" w:hAnsiTheme="minorHAnsi" w:cstheme="minorHAnsi"/>
        </w:rPr>
      </w:pPr>
    </w:p>
    <w:p w14:paraId="12D32BD5" w14:textId="61C8A143" w:rsidR="003B1154" w:rsidRPr="00EB0888" w:rsidRDefault="003B1154" w:rsidP="002C4783">
      <w:pPr>
        <w:ind w:left="1440"/>
        <w:rPr>
          <w:rFonts w:asciiTheme="minorHAnsi" w:hAnsiTheme="minorHAnsi" w:cstheme="minorHAnsi"/>
          <w:b/>
        </w:rPr>
      </w:pPr>
      <w:r w:rsidRPr="00EB0888">
        <w:rPr>
          <w:rFonts w:asciiTheme="minorHAnsi" w:hAnsiTheme="minorHAnsi" w:cstheme="minorHAnsi"/>
          <w:b/>
        </w:rPr>
        <w:t>Notes</w:t>
      </w:r>
      <w:r w:rsidR="000A4823" w:rsidRPr="00EB0888">
        <w:rPr>
          <w:rFonts w:asciiTheme="minorHAnsi" w:hAnsiTheme="minorHAnsi" w:cstheme="minorHAnsi"/>
          <w:b/>
        </w:rPr>
        <w:t>:</w:t>
      </w:r>
    </w:p>
    <w:p w14:paraId="0087F2B0" w14:textId="2AFB459D" w:rsidR="00157FD6" w:rsidRPr="00EB0888" w:rsidRDefault="00320E25" w:rsidP="00E42E17">
      <w:pPr>
        <w:pStyle w:val="ListParagraph"/>
        <w:numPr>
          <w:ilvl w:val="0"/>
          <w:numId w:val="30"/>
        </w:numPr>
        <w:ind w:left="2160"/>
        <w:contextualSpacing w:val="0"/>
        <w:rPr>
          <w:rFonts w:cstheme="minorHAnsi"/>
          <w:sz w:val="24"/>
          <w:szCs w:val="24"/>
        </w:rPr>
      </w:pPr>
      <w:r w:rsidRPr="00EB0888">
        <w:rPr>
          <w:rFonts w:cstheme="minorHAnsi"/>
          <w:sz w:val="24"/>
          <w:szCs w:val="24"/>
        </w:rPr>
        <w:t xml:space="preserve">Load balancing systems may be installed to increase the number of EV chargers or the amperage </w:t>
      </w:r>
      <w:r w:rsidR="00830DDF" w:rsidRPr="00EB0888">
        <w:rPr>
          <w:rFonts w:cstheme="minorHAnsi"/>
          <w:sz w:val="24"/>
          <w:szCs w:val="24"/>
        </w:rPr>
        <w:t xml:space="preserve">or voltage </w:t>
      </w:r>
      <w:r w:rsidRPr="00EB0888">
        <w:rPr>
          <w:rFonts w:cstheme="minorHAnsi"/>
          <w:sz w:val="24"/>
          <w:szCs w:val="24"/>
        </w:rPr>
        <w:t xml:space="preserve">beyond the minimum requirements in this code. The option does not allow </w:t>
      </w:r>
      <w:r w:rsidR="001A3BE7" w:rsidRPr="00EB0888">
        <w:rPr>
          <w:rFonts w:cstheme="minorHAnsi"/>
          <w:sz w:val="24"/>
          <w:szCs w:val="24"/>
        </w:rPr>
        <w:t xml:space="preserve">for </w:t>
      </w:r>
      <w:r w:rsidRPr="00EB0888">
        <w:rPr>
          <w:rFonts w:cstheme="minorHAnsi"/>
          <w:sz w:val="24"/>
          <w:szCs w:val="24"/>
        </w:rPr>
        <w:t>installing less electrical panel capacity than would be required without load balancing.</w:t>
      </w:r>
    </w:p>
    <w:p w14:paraId="04AA6DD5" w14:textId="77777777" w:rsidR="00184804" w:rsidRPr="00EB0888" w:rsidRDefault="00184804" w:rsidP="0044726C">
      <w:pPr>
        <w:rPr>
          <w:rFonts w:asciiTheme="minorHAnsi" w:hAnsiTheme="minorHAnsi" w:cstheme="minorHAnsi"/>
        </w:rPr>
      </w:pPr>
    </w:p>
    <w:p w14:paraId="59C07CE6" w14:textId="15CEB90C" w:rsidR="00512DD0" w:rsidRPr="00EB0888" w:rsidRDefault="003B1154" w:rsidP="000419F7">
      <w:pPr>
        <w:ind w:left="720"/>
        <w:rPr>
          <w:rFonts w:asciiTheme="minorHAnsi" w:hAnsiTheme="minorHAnsi" w:cstheme="minorHAnsi"/>
        </w:rPr>
      </w:pPr>
      <w:r w:rsidRPr="00EB0888">
        <w:rPr>
          <w:rFonts w:asciiTheme="minorHAnsi" w:hAnsiTheme="minorHAnsi" w:cstheme="minorHAnsi"/>
          <w:b/>
          <w:bCs/>
        </w:rPr>
        <w:t>5.106.5.3.1 Office buildings</w:t>
      </w:r>
      <w:r w:rsidRPr="00EB0888">
        <w:rPr>
          <w:rFonts w:asciiTheme="minorHAnsi" w:hAnsiTheme="minorHAnsi" w:cstheme="minorHAnsi"/>
        </w:rPr>
        <w:t xml:space="preserve">: </w:t>
      </w:r>
      <w:r w:rsidR="004378EF" w:rsidRPr="00EB0888">
        <w:rPr>
          <w:rFonts w:asciiTheme="minorHAnsi" w:hAnsiTheme="minorHAnsi" w:cstheme="minorHAnsi"/>
        </w:rPr>
        <w:t xml:space="preserve">In </w:t>
      </w:r>
      <w:r w:rsidR="00E5218C" w:rsidRPr="00EB0888">
        <w:rPr>
          <w:rFonts w:asciiTheme="minorHAnsi" w:hAnsiTheme="minorHAnsi" w:cstheme="minorHAnsi"/>
        </w:rPr>
        <w:t xml:space="preserve">nonresidential </w:t>
      </w:r>
      <w:r w:rsidR="004378EF" w:rsidRPr="00EB0888">
        <w:rPr>
          <w:rFonts w:asciiTheme="minorHAnsi" w:hAnsiTheme="minorHAnsi" w:cstheme="minorHAnsi"/>
        </w:rPr>
        <w:t>new construction</w:t>
      </w:r>
      <w:r w:rsidR="009E161D" w:rsidRPr="00EB0888">
        <w:rPr>
          <w:rFonts w:asciiTheme="minorHAnsi" w:hAnsiTheme="minorHAnsi" w:cstheme="minorHAnsi"/>
        </w:rPr>
        <w:t xml:space="preserve"> </w:t>
      </w:r>
      <w:r w:rsidR="00E5218C" w:rsidRPr="00EB0888">
        <w:rPr>
          <w:rFonts w:asciiTheme="minorHAnsi" w:hAnsiTheme="minorHAnsi" w:cstheme="minorHAnsi"/>
        </w:rPr>
        <w:t>building</w:t>
      </w:r>
      <w:r w:rsidRPr="00EB0888">
        <w:rPr>
          <w:rFonts w:asciiTheme="minorHAnsi" w:hAnsiTheme="minorHAnsi" w:cstheme="minorHAnsi"/>
        </w:rPr>
        <w:t>s designated primarily for office use</w:t>
      </w:r>
      <w:r w:rsidR="00512DD0" w:rsidRPr="00EB0888">
        <w:rPr>
          <w:rFonts w:asciiTheme="minorHAnsi" w:hAnsiTheme="minorHAnsi" w:cstheme="minorHAnsi"/>
        </w:rPr>
        <w:t>:</w:t>
      </w:r>
    </w:p>
    <w:p w14:paraId="757948A2" w14:textId="3F650A91" w:rsidR="00512DD0" w:rsidRPr="00EB0888" w:rsidRDefault="509672C8" w:rsidP="002C4783">
      <w:pPr>
        <w:pStyle w:val="ListParagraph"/>
        <w:numPr>
          <w:ilvl w:val="0"/>
          <w:numId w:val="26"/>
        </w:numPr>
        <w:contextualSpacing w:val="0"/>
        <w:rPr>
          <w:rFonts w:cstheme="minorHAnsi"/>
          <w:sz w:val="24"/>
          <w:szCs w:val="24"/>
        </w:rPr>
      </w:pPr>
      <w:r w:rsidRPr="00EB0888">
        <w:rPr>
          <w:rFonts w:cstheme="minorHAnsi"/>
          <w:sz w:val="24"/>
          <w:szCs w:val="24"/>
        </w:rPr>
        <w:t>When</w:t>
      </w:r>
      <w:r w:rsidR="00484759" w:rsidRPr="00EB0888">
        <w:rPr>
          <w:rFonts w:cstheme="minorHAnsi"/>
          <w:sz w:val="24"/>
          <w:szCs w:val="24"/>
        </w:rPr>
        <w:t xml:space="preserve"> 10 or more parking spaces are </w:t>
      </w:r>
      <w:r w:rsidRPr="00EB0888">
        <w:rPr>
          <w:rFonts w:cstheme="minorHAnsi"/>
          <w:sz w:val="24"/>
          <w:szCs w:val="24"/>
        </w:rPr>
        <w:t>constructed</w:t>
      </w:r>
      <w:r w:rsidR="00484759" w:rsidRPr="00EB0888">
        <w:rPr>
          <w:rFonts w:cstheme="minorHAnsi"/>
          <w:sz w:val="24"/>
          <w:szCs w:val="24"/>
        </w:rPr>
        <w:t xml:space="preserve">, </w:t>
      </w:r>
      <w:r w:rsidR="00512DD0" w:rsidRPr="00EB0888">
        <w:rPr>
          <w:rFonts w:cstheme="minorHAnsi"/>
          <w:sz w:val="24"/>
          <w:szCs w:val="24"/>
        </w:rPr>
        <w:t>1</w:t>
      </w:r>
      <w:r w:rsidR="004378EF" w:rsidRPr="00EB0888">
        <w:rPr>
          <w:rFonts w:cstheme="minorHAnsi"/>
          <w:sz w:val="24"/>
          <w:szCs w:val="24"/>
        </w:rPr>
        <w:t xml:space="preserve">0% of the available parking spaces on site shall be </w:t>
      </w:r>
      <w:r w:rsidR="000E5818" w:rsidRPr="00EB0888">
        <w:rPr>
          <w:rFonts w:cstheme="minorHAnsi"/>
          <w:sz w:val="24"/>
          <w:szCs w:val="24"/>
        </w:rPr>
        <w:t xml:space="preserve">equipped with </w:t>
      </w:r>
      <w:r w:rsidR="004378EF" w:rsidRPr="00EB0888">
        <w:rPr>
          <w:rFonts w:cstheme="minorHAnsi"/>
          <w:sz w:val="24"/>
          <w:szCs w:val="24"/>
        </w:rPr>
        <w:t>Level 2 EV</w:t>
      </w:r>
      <w:r w:rsidR="00512DD0" w:rsidRPr="00EB0888">
        <w:rPr>
          <w:rFonts w:cstheme="minorHAnsi"/>
          <w:sz w:val="24"/>
          <w:szCs w:val="24"/>
        </w:rPr>
        <w:t>CS</w:t>
      </w:r>
      <w:r w:rsidR="003B1154" w:rsidRPr="00EB0888">
        <w:rPr>
          <w:rFonts w:cstheme="minorHAnsi"/>
          <w:sz w:val="24"/>
          <w:szCs w:val="24"/>
        </w:rPr>
        <w:t>;</w:t>
      </w:r>
    </w:p>
    <w:p w14:paraId="128E89B0" w14:textId="61F509FB" w:rsidR="003C2762" w:rsidRPr="00EB0888" w:rsidRDefault="001A3BE7" w:rsidP="002C4783">
      <w:pPr>
        <w:pStyle w:val="ListParagraph"/>
        <w:numPr>
          <w:ilvl w:val="0"/>
          <w:numId w:val="26"/>
        </w:numPr>
        <w:contextualSpacing w:val="0"/>
        <w:rPr>
          <w:rFonts w:cstheme="minorHAnsi"/>
          <w:sz w:val="24"/>
          <w:szCs w:val="24"/>
        </w:rPr>
      </w:pPr>
      <w:r w:rsidRPr="00EB0888">
        <w:rPr>
          <w:rFonts w:cstheme="minorHAnsi"/>
          <w:sz w:val="24"/>
          <w:szCs w:val="24"/>
        </w:rPr>
        <w:t>A</w:t>
      </w:r>
      <w:r w:rsidR="004378EF" w:rsidRPr="00EB0888">
        <w:rPr>
          <w:rFonts w:cstheme="minorHAnsi"/>
          <w:sz w:val="24"/>
          <w:szCs w:val="24"/>
        </w:rPr>
        <w:t xml:space="preserve">n additional 10% </w:t>
      </w:r>
      <w:r w:rsidR="009A0683" w:rsidRPr="00EB0888">
        <w:rPr>
          <w:rFonts w:cstheme="minorHAnsi"/>
          <w:sz w:val="24"/>
          <w:szCs w:val="24"/>
        </w:rPr>
        <w:t>shall</w:t>
      </w:r>
      <w:r w:rsidR="004378EF" w:rsidRPr="00EB0888">
        <w:rPr>
          <w:rFonts w:cstheme="minorHAnsi"/>
          <w:sz w:val="24"/>
          <w:szCs w:val="24"/>
        </w:rPr>
        <w:t xml:space="preserve"> be </w:t>
      </w:r>
      <w:r w:rsidR="000270A2" w:rsidRPr="00EB0888">
        <w:rPr>
          <w:rFonts w:cstheme="minorHAnsi"/>
          <w:sz w:val="24"/>
          <w:szCs w:val="24"/>
        </w:rPr>
        <w:t xml:space="preserve">provided with </w:t>
      </w:r>
      <w:r w:rsidR="3F6A280F" w:rsidRPr="00EB0888">
        <w:rPr>
          <w:rFonts w:cstheme="minorHAnsi"/>
          <w:sz w:val="24"/>
          <w:szCs w:val="24"/>
        </w:rPr>
        <w:t xml:space="preserve">at least </w:t>
      </w:r>
      <w:r w:rsidR="004378EF" w:rsidRPr="00EB0888">
        <w:rPr>
          <w:rFonts w:cstheme="minorHAnsi"/>
          <w:sz w:val="24"/>
          <w:szCs w:val="24"/>
        </w:rPr>
        <w:t xml:space="preserve">Level 1 </w:t>
      </w:r>
      <w:r w:rsidR="3F6A280F" w:rsidRPr="00EB0888">
        <w:rPr>
          <w:rFonts w:cstheme="minorHAnsi"/>
          <w:sz w:val="24"/>
          <w:szCs w:val="24"/>
        </w:rPr>
        <w:t>EV Ready Circuits</w:t>
      </w:r>
      <w:r w:rsidR="003B1154" w:rsidRPr="00EB0888">
        <w:rPr>
          <w:rFonts w:cstheme="minorHAnsi"/>
          <w:sz w:val="24"/>
          <w:szCs w:val="24"/>
        </w:rPr>
        <w:t>;</w:t>
      </w:r>
      <w:r w:rsidR="000270A2" w:rsidRPr="00EB0888">
        <w:rPr>
          <w:rFonts w:cstheme="minorHAnsi"/>
          <w:sz w:val="24"/>
          <w:szCs w:val="24"/>
        </w:rPr>
        <w:t xml:space="preserve"> </w:t>
      </w:r>
      <w:r w:rsidR="009A0683" w:rsidRPr="00EB0888">
        <w:rPr>
          <w:rFonts w:cstheme="minorHAnsi"/>
          <w:sz w:val="24"/>
          <w:szCs w:val="24"/>
        </w:rPr>
        <w:t>and</w:t>
      </w:r>
    </w:p>
    <w:p w14:paraId="6AEDBC37" w14:textId="4388A16B" w:rsidR="00AD0419" w:rsidRPr="00EB0888" w:rsidRDefault="001A3BE7" w:rsidP="002C4783">
      <w:pPr>
        <w:pStyle w:val="ListParagraph"/>
        <w:numPr>
          <w:ilvl w:val="0"/>
          <w:numId w:val="26"/>
        </w:numPr>
        <w:contextualSpacing w:val="0"/>
        <w:rPr>
          <w:rFonts w:cstheme="minorHAnsi"/>
          <w:sz w:val="24"/>
          <w:szCs w:val="24"/>
        </w:rPr>
      </w:pPr>
      <w:r w:rsidRPr="00EB0888">
        <w:rPr>
          <w:rFonts w:cstheme="minorHAnsi"/>
          <w:sz w:val="24"/>
          <w:szCs w:val="24"/>
        </w:rPr>
        <w:t>A</w:t>
      </w:r>
      <w:r w:rsidR="00512DD0" w:rsidRPr="00EB0888">
        <w:rPr>
          <w:rFonts w:cstheme="minorHAnsi"/>
          <w:sz w:val="24"/>
          <w:szCs w:val="24"/>
        </w:rPr>
        <w:t xml:space="preserve">n additional </w:t>
      </w:r>
      <w:r w:rsidR="009A0683" w:rsidRPr="00EB0888">
        <w:rPr>
          <w:rFonts w:cstheme="minorHAnsi"/>
          <w:sz w:val="24"/>
          <w:szCs w:val="24"/>
        </w:rPr>
        <w:t xml:space="preserve">30% shall be </w:t>
      </w:r>
      <w:r w:rsidR="3F6A280F" w:rsidRPr="00EB0888">
        <w:rPr>
          <w:rFonts w:cstheme="minorHAnsi"/>
          <w:sz w:val="24"/>
          <w:szCs w:val="24"/>
        </w:rPr>
        <w:t xml:space="preserve">at least </w:t>
      </w:r>
      <w:r w:rsidR="000A4823" w:rsidRPr="00EB0888">
        <w:rPr>
          <w:rFonts w:cstheme="minorHAnsi"/>
          <w:sz w:val="24"/>
          <w:szCs w:val="24"/>
        </w:rPr>
        <w:t>EV</w:t>
      </w:r>
      <w:r w:rsidR="002D2442" w:rsidRPr="00EB0888">
        <w:rPr>
          <w:rFonts w:cstheme="minorHAnsi"/>
          <w:sz w:val="24"/>
          <w:szCs w:val="24"/>
        </w:rPr>
        <w:t xml:space="preserve"> </w:t>
      </w:r>
      <w:r w:rsidR="000A4823" w:rsidRPr="00EB0888">
        <w:rPr>
          <w:rFonts w:cstheme="minorHAnsi"/>
          <w:sz w:val="24"/>
          <w:szCs w:val="24"/>
        </w:rPr>
        <w:t>Capable</w:t>
      </w:r>
      <w:r w:rsidR="00581CD8" w:rsidRPr="00EB0888">
        <w:rPr>
          <w:rFonts w:cstheme="minorHAnsi"/>
          <w:sz w:val="24"/>
          <w:szCs w:val="24"/>
        </w:rPr>
        <w:t>.</w:t>
      </w:r>
    </w:p>
    <w:p w14:paraId="551354CE" w14:textId="77777777" w:rsidR="00514244" w:rsidRPr="00EB0888" w:rsidRDefault="00514244" w:rsidP="00D35C36">
      <w:pPr>
        <w:ind w:left="900"/>
        <w:rPr>
          <w:rFonts w:asciiTheme="minorHAnsi" w:hAnsiTheme="minorHAnsi" w:cstheme="minorHAnsi"/>
        </w:rPr>
      </w:pPr>
    </w:p>
    <w:p w14:paraId="5DE38907" w14:textId="2B2C07CF" w:rsidR="00514244" w:rsidRPr="00EB0888" w:rsidRDefault="00514244" w:rsidP="000419F7">
      <w:pPr>
        <w:pStyle w:val="ListParagraph"/>
        <w:ind w:left="900"/>
        <w:rPr>
          <w:rFonts w:cstheme="minorHAnsi"/>
          <w:sz w:val="24"/>
          <w:szCs w:val="24"/>
        </w:rPr>
      </w:pPr>
      <w:r w:rsidRPr="00EB0888">
        <w:rPr>
          <w:rFonts w:cstheme="minorHAnsi"/>
          <w:sz w:val="24"/>
          <w:szCs w:val="24"/>
        </w:rPr>
        <w:lastRenderedPageBreak/>
        <w:t xml:space="preserve">Calculations for the required minimum number of spaces equipped with Level 2 EVCS, Level 1 EV Ready spaces and EV Capable spaces shall </w:t>
      </w:r>
      <w:r w:rsidR="007C6A04" w:rsidRPr="00EB0888">
        <w:rPr>
          <w:rFonts w:cstheme="minorHAnsi"/>
          <w:sz w:val="24"/>
          <w:szCs w:val="24"/>
        </w:rPr>
        <w:t xml:space="preserve">all </w:t>
      </w:r>
      <w:r w:rsidRPr="00EB0888">
        <w:rPr>
          <w:rFonts w:cstheme="minorHAnsi"/>
          <w:sz w:val="24"/>
          <w:szCs w:val="24"/>
        </w:rPr>
        <w:t>be rounded up to the nearest whole number</w:t>
      </w:r>
    </w:p>
    <w:p w14:paraId="5E111BC9" w14:textId="26D69668" w:rsidR="002E4DB2" w:rsidRPr="00EB0888" w:rsidRDefault="00514244" w:rsidP="00D35C36">
      <w:pPr>
        <w:ind w:left="900"/>
        <w:rPr>
          <w:rFonts w:asciiTheme="minorHAnsi" w:hAnsiTheme="minorHAnsi" w:cstheme="minorHAnsi"/>
        </w:rPr>
      </w:pPr>
      <w:r w:rsidRPr="00EB0888">
        <w:rPr>
          <w:rFonts w:asciiTheme="minorHAnsi" w:hAnsiTheme="minorHAnsi" w:cstheme="minorHAnsi"/>
        </w:rPr>
        <w:t xml:space="preserve">Construction </w:t>
      </w:r>
      <w:r w:rsidR="002E4DB2" w:rsidRPr="00EB0888">
        <w:rPr>
          <w:rFonts w:asciiTheme="minorHAnsi" w:hAnsiTheme="minorHAnsi" w:cstheme="minorHAnsi"/>
        </w:rPr>
        <w:t xml:space="preserve">plans and specifications shall </w:t>
      </w:r>
      <w:r w:rsidR="00FA72B0" w:rsidRPr="00EB0888">
        <w:rPr>
          <w:rFonts w:asciiTheme="minorHAnsi" w:hAnsiTheme="minorHAnsi" w:cstheme="minorHAnsi"/>
        </w:rPr>
        <w:t>demonstrate that</w:t>
      </w:r>
      <w:r w:rsidR="001F626B" w:rsidRPr="00EB0888">
        <w:rPr>
          <w:rFonts w:asciiTheme="minorHAnsi" w:hAnsiTheme="minorHAnsi" w:cstheme="minorHAnsi"/>
        </w:rPr>
        <w:t xml:space="preserve"> a</w:t>
      </w:r>
      <w:r w:rsidR="002E4DB2" w:rsidRPr="00EB0888">
        <w:rPr>
          <w:rFonts w:asciiTheme="minorHAnsi" w:hAnsiTheme="minorHAnsi" w:cstheme="minorHAnsi"/>
        </w:rPr>
        <w:t>ll raceways shall be a minimum of 1”</w:t>
      </w:r>
      <w:r w:rsidR="00FA72B0" w:rsidRPr="00EB0888">
        <w:rPr>
          <w:rFonts w:asciiTheme="minorHAnsi" w:hAnsiTheme="minorHAnsi" w:cstheme="minorHAnsi"/>
        </w:rPr>
        <w:t xml:space="preserve"> and sufficient for installation of EVCS at all required</w:t>
      </w:r>
      <w:r w:rsidR="00A6584D" w:rsidRPr="00EB0888">
        <w:rPr>
          <w:rFonts w:asciiTheme="minorHAnsi" w:hAnsiTheme="minorHAnsi" w:cstheme="minorHAnsi"/>
        </w:rPr>
        <w:t xml:space="preserve"> Level 1</w:t>
      </w:r>
      <w:r w:rsidR="00FA72B0" w:rsidRPr="00EB0888">
        <w:rPr>
          <w:rFonts w:asciiTheme="minorHAnsi" w:hAnsiTheme="minorHAnsi" w:cstheme="minorHAnsi"/>
        </w:rPr>
        <w:t xml:space="preserve"> </w:t>
      </w:r>
      <w:r w:rsidR="006F5A72" w:rsidRPr="00EB0888">
        <w:rPr>
          <w:rFonts w:asciiTheme="minorHAnsi" w:hAnsiTheme="minorHAnsi" w:cstheme="minorHAnsi"/>
        </w:rPr>
        <w:t xml:space="preserve">EV Ready and </w:t>
      </w:r>
      <w:r w:rsidR="00FA72B0" w:rsidRPr="00EB0888">
        <w:rPr>
          <w:rFonts w:asciiTheme="minorHAnsi" w:hAnsiTheme="minorHAnsi" w:cstheme="minorHAnsi"/>
        </w:rPr>
        <w:t>EV Capable spaces</w:t>
      </w:r>
      <w:r w:rsidR="00D8670C" w:rsidRPr="00EB0888">
        <w:rPr>
          <w:rFonts w:asciiTheme="minorHAnsi" w:hAnsiTheme="minorHAnsi" w:cstheme="minorHAnsi"/>
        </w:rPr>
        <w:t>;</w:t>
      </w:r>
      <w:r w:rsidR="00F52421" w:rsidRPr="00EB0888">
        <w:rPr>
          <w:rFonts w:asciiTheme="minorHAnsi" w:hAnsiTheme="minorHAnsi" w:cstheme="minorHAnsi"/>
        </w:rPr>
        <w:t xml:space="preserve"> </w:t>
      </w:r>
      <w:r w:rsidR="002E4DB2" w:rsidRPr="00EB0888">
        <w:rPr>
          <w:rFonts w:asciiTheme="minorHAnsi" w:hAnsiTheme="minorHAnsi" w:cstheme="minorHAnsi"/>
        </w:rPr>
        <w:t>Electrical calculations shall substantiate the design of the electrical system to include the rating of equipment and any on-site distribution transformers</w:t>
      </w:r>
      <w:r w:rsidR="43DA2F1F" w:rsidRPr="00EB0888">
        <w:rPr>
          <w:rFonts w:asciiTheme="minorHAnsi" w:hAnsiTheme="minorHAnsi" w:cstheme="minorHAnsi"/>
        </w:rPr>
        <w:t>,</w:t>
      </w:r>
      <w:r w:rsidR="002E4DB2" w:rsidRPr="00EB0888">
        <w:rPr>
          <w:rFonts w:asciiTheme="minorHAnsi" w:hAnsiTheme="minorHAnsi" w:cstheme="minorHAnsi"/>
        </w:rPr>
        <w:t xml:space="preserve"> and have sufficient capacity to simultaneously </w:t>
      </w:r>
      <w:r w:rsidR="00FA72B0" w:rsidRPr="00EB0888">
        <w:rPr>
          <w:rFonts w:asciiTheme="minorHAnsi" w:hAnsiTheme="minorHAnsi" w:cstheme="minorHAnsi"/>
        </w:rPr>
        <w:t xml:space="preserve">charge EVs at all required EV spaces including </w:t>
      </w:r>
      <w:r w:rsidR="00A6584D" w:rsidRPr="00EB0888">
        <w:rPr>
          <w:rFonts w:asciiTheme="minorHAnsi" w:hAnsiTheme="minorHAnsi" w:cstheme="minorHAnsi"/>
        </w:rPr>
        <w:t xml:space="preserve">Level 1 </w:t>
      </w:r>
      <w:r w:rsidR="006F5A72" w:rsidRPr="00EB0888">
        <w:rPr>
          <w:rFonts w:asciiTheme="minorHAnsi" w:hAnsiTheme="minorHAnsi" w:cstheme="minorHAnsi"/>
        </w:rPr>
        <w:t xml:space="preserve">V Ready and </w:t>
      </w:r>
      <w:r w:rsidR="00FA72B0" w:rsidRPr="00EB0888">
        <w:rPr>
          <w:rFonts w:asciiTheme="minorHAnsi" w:hAnsiTheme="minorHAnsi" w:cstheme="minorHAnsi"/>
        </w:rPr>
        <w:t xml:space="preserve">EV Capable spaces; and </w:t>
      </w:r>
      <w:r w:rsidR="002E4DB2" w:rsidRPr="00EB0888">
        <w:rPr>
          <w:rFonts w:asciiTheme="minorHAnsi" w:hAnsiTheme="minorHAnsi" w:cstheme="minorHAnsi"/>
        </w:rPr>
        <w:t>service panel or subpanel(s) shall have sufficient capacity to accommodate the required number of dedicated branch circuit(s) for the future installation of the EVSE.</w:t>
      </w:r>
    </w:p>
    <w:p w14:paraId="341FFBDA" w14:textId="77777777" w:rsidR="00514244" w:rsidRPr="00EB0888" w:rsidRDefault="00514244" w:rsidP="00D35C36">
      <w:pPr>
        <w:ind w:left="900"/>
        <w:rPr>
          <w:rFonts w:asciiTheme="minorHAnsi" w:hAnsiTheme="minorHAnsi" w:cstheme="minorHAnsi"/>
        </w:rPr>
      </w:pPr>
    </w:p>
    <w:p w14:paraId="5C3E1BF3" w14:textId="59CA13C0" w:rsidR="00512DD0" w:rsidRPr="00EB0888" w:rsidRDefault="003B1154" w:rsidP="000419F7">
      <w:pPr>
        <w:ind w:left="900"/>
        <w:rPr>
          <w:rFonts w:asciiTheme="minorHAnsi" w:hAnsiTheme="minorHAnsi" w:cstheme="minorHAnsi"/>
        </w:rPr>
      </w:pPr>
      <w:r w:rsidRPr="00EB0888">
        <w:rPr>
          <w:rFonts w:asciiTheme="minorHAnsi" w:hAnsiTheme="minorHAnsi" w:cstheme="minorHAnsi"/>
          <w:b/>
          <w:bCs/>
        </w:rPr>
        <w:t>5.106.5.3.2 Other nonresidential buildings</w:t>
      </w:r>
      <w:r w:rsidRPr="00EB0888">
        <w:rPr>
          <w:rFonts w:asciiTheme="minorHAnsi" w:hAnsiTheme="minorHAnsi" w:cstheme="minorHAnsi"/>
        </w:rPr>
        <w:t xml:space="preserve">: </w:t>
      </w:r>
      <w:r w:rsidR="00244A40" w:rsidRPr="00EB0888">
        <w:rPr>
          <w:rFonts w:asciiTheme="minorHAnsi" w:hAnsiTheme="minorHAnsi" w:cstheme="minorHAnsi"/>
        </w:rPr>
        <w:t xml:space="preserve">In nonresidential new construction buildings </w:t>
      </w:r>
      <w:r w:rsidRPr="00EB0888">
        <w:rPr>
          <w:rFonts w:asciiTheme="minorHAnsi" w:hAnsiTheme="minorHAnsi" w:cstheme="minorHAnsi"/>
        </w:rPr>
        <w:t>that are not designated primarily for office use, such as retail or institutional uses</w:t>
      </w:r>
      <w:r w:rsidR="00512DD0" w:rsidRPr="00EB0888">
        <w:rPr>
          <w:rFonts w:asciiTheme="minorHAnsi" w:hAnsiTheme="minorHAnsi" w:cstheme="minorHAnsi"/>
        </w:rPr>
        <w:t>:</w:t>
      </w:r>
    </w:p>
    <w:p w14:paraId="324A6CFC" w14:textId="53E3882A" w:rsidR="00484759" w:rsidRPr="00EB0888" w:rsidRDefault="11FDCEF8" w:rsidP="006936CE">
      <w:pPr>
        <w:pStyle w:val="ListParagraph"/>
        <w:numPr>
          <w:ilvl w:val="0"/>
          <w:numId w:val="28"/>
        </w:numPr>
        <w:contextualSpacing w:val="0"/>
        <w:rPr>
          <w:rFonts w:cstheme="minorHAnsi"/>
          <w:sz w:val="24"/>
          <w:szCs w:val="24"/>
        </w:rPr>
      </w:pPr>
      <w:r w:rsidRPr="00EB0888">
        <w:rPr>
          <w:rFonts w:cstheme="minorHAnsi"/>
          <w:sz w:val="24"/>
          <w:szCs w:val="24"/>
        </w:rPr>
        <w:t>Wh</w:t>
      </w:r>
      <w:r w:rsidR="2A1487C7" w:rsidRPr="00EB0888">
        <w:rPr>
          <w:rFonts w:cstheme="minorHAnsi"/>
          <w:sz w:val="24"/>
          <w:szCs w:val="24"/>
        </w:rPr>
        <w:t>en</w:t>
      </w:r>
      <w:r w:rsidR="00484759" w:rsidRPr="00EB0888">
        <w:rPr>
          <w:rFonts w:cstheme="minorHAnsi"/>
          <w:sz w:val="24"/>
          <w:szCs w:val="24"/>
        </w:rPr>
        <w:t xml:space="preserve"> 10 or more parking spaces are </w:t>
      </w:r>
      <w:r w:rsidR="2A1487C7" w:rsidRPr="00EB0888">
        <w:rPr>
          <w:rFonts w:cstheme="minorHAnsi"/>
          <w:sz w:val="24"/>
          <w:szCs w:val="24"/>
        </w:rPr>
        <w:t>constructed</w:t>
      </w:r>
      <w:r w:rsidR="00484759" w:rsidRPr="00EB0888">
        <w:rPr>
          <w:rFonts w:cstheme="minorHAnsi"/>
          <w:sz w:val="24"/>
          <w:szCs w:val="24"/>
        </w:rPr>
        <w:t xml:space="preserve">, </w:t>
      </w:r>
      <w:r w:rsidR="003B1154" w:rsidRPr="00EB0888">
        <w:rPr>
          <w:rFonts w:cstheme="minorHAnsi"/>
          <w:sz w:val="24"/>
          <w:szCs w:val="24"/>
        </w:rPr>
        <w:t>6</w:t>
      </w:r>
      <w:r w:rsidR="00244A40" w:rsidRPr="00EB0888">
        <w:rPr>
          <w:rFonts w:cstheme="minorHAnsi"/>
          <w:sz w:val="24"/>
          <w:szCs w:val="24"/>
        </w:rPr>
        <w:t xml:space="preserve">% of the available parking spaces on site shall be </w:t>
      </w:r>
      <w:r w:rsidR="00674A63" w:rsidRPr="00EB0888">
        <w:rPr>
          <w:rFonts w:cstheme="minorHAnsi"/>
          <w:sz w:val="24"/>
          <w:szCs w:val="24"/>
        </w:rPr>
        <w:t>equipped with Level 2 EVCS</w:t>
      </w:r>
      <w:r w:rsidR="00D35C36" w:rsidRPr="00EB0888">
        <w:rPr>
          <w:rFonts w:cstheme="minorHAnsi"/>
          <w:sz w:val="24"/>
          <w:szCs w:val="24"/>
        </w:rPr>
        <w:t>;</w:t>
      </w:r>
    </w:p>
    <w:p w14:paraId="47389042" w14:textId="1154CFA7" w:rsidR="00EA4C2F" w:rsidRPr="00D26026" w:rsidRDefault="00484759" w:rsidP="0044726C">
      <w:pPr>
        <w:pStyle w:val="ListParagraph"/>
        <w:numPr>
          <w:ilvl w:val="0"/>
          <w:numId w:val="28"/>
        </w:numPr>
        <w:contextualSpacing w:val="0"/>
        <w:rPr>
          <w:rFonts w:cstheme="minorHAnsi"/>
        </w:rPr>
      </w:pPr>
      <w:r w:rsidRPr="00EB0888">
        <w:rPr>
          <w:rFonts w:cstheme="minorHAnsi"/>
          <w:sz w:val="24"/>
          <w:szCs w:val="24"/>
        </w:rPr>
        <w:t>A</w:t>
      </w:r>
      <w:r w:rsidR="00244A40" w:rsidRPr="00EB0888">
        <w:rPr>
          <w:rFonts w:cstheme="minorHAnsi"/>
          <w:sz w:val="24"/>
          <w:szCs w:val="24"/>
        </w:rPr>
        <w:t xml:space="preserve">n additional </w:t>
      </w:r>
      <w:r w:rsidR="003A6CB6" w:rsidRPr="00EB0888">
        <w:rPr>
          <w:rFonts w:cstheme="minorHAnsi"/>
          <w:sz w:val="24"/>
          <w:szCs w:val="24"/>
        </w:rPr>
        <w:t>5</w:t>
      </w:r>
      <w:r w:rsidR="00244A40" w:rsidRPr="00EB0888">
        <w:rPr>
          <w:rFonts w:cstheme="minorHAnsi"/>
          <w:sz w:val="24"/>
          <w:szCs w:val="24"/>
        </w:rPr>
        <w:t xml:space="preserve">% shall be </w:t>
      </w:r>
      <w:r w:rsidR="00DD6D5B" w:rsidRPr="00EB0888">
        <w:rPr>
          <w:rFonts w:cstheme="minorHAnsi"/>
          <w:sz w:val="24"/>
          <w:szCs w:val="24"/>
        </w:rPr>
        <w:t>at least</w:t>
      </w:r>
      <w:r w:rsidR="00244A40" w:rsidRPr="00EB0888">
        <w:rPr>
          <w:rFonts w:cstheme="minorHAnsi"/>
          <w:sz w:val="24"/>
          <w:szCs w:val="24"/>
        </w:rPr>
        <w:t xml:space="preserve"> Level 1 EV</w:t>
      </w:r>
      <w:r w:rsidR="002D2442" w:rsidRPr="00EB0888">
        <w:rPr>
          <w:rFonts w:cstheme="minorHAnsi"/>
          <w:sz w:val="24"/>
          <w:szCs w:val="24"/>
        </w:rPr>
        <w:t xml:space="preserve"> </w:t>
      </w:r>
      <w:r w:rsidR="00244A40" w:rsidRPr="00EB0888">
        <w:rPr>
          <w:rFonts w:cstheme="minorHAnsi"/>
          <w:sz w:val="24"/>
          <w:szCs w:val="24"/>
        </w:rPr>
        <w:t>Ready</w:t>
      </w:r>
      <w:r w:rsidR="000A4823" w:rsidRPr="00EB0888">
        <w:rPr>
          <w:rFonts w:cstheme="minorHAnsi"/>
          <w:sz w:val="24"/>
          <w:szCs w:val="24"/>
        </w:rPr>
        <w:t>.</w:t>
      </w:r>
    </w:p>
    <w:p w14:paraId="78B1A0EC" w14:textId="41EBCAD6" w:rsidR="00EA4C2F" w:rsidRPr="00EB0888" w:rsidRDefault="009C0837" w:rsidP="000419F7">
      <w:pPr>
        <w:pStyle w:val="ListParagraph"/>
        <w:ind w:left="1440"/>
        <w:rPr>
          <w:rFonts w:eastAsia="Times New Roman" w:cstheme="minorHAnsi"/>
          <w:sz w:val="24"/>
          <w:szCs w:val="24"/>
        </w:rPr>
      </w:pPr>
      <w:r w:rsidRPr="00EB0888">
        <w:rPr>
          <w:rFonts w:cstheme="minorHAnsi"/>
          <w:sz w:val="24"/>
          <w:szCs w:val="24"/>
        </w:rPr>
        <w:t>C</w:t>
      </w:r>
      <w:r w:rsidR="00EA4C2F" w:rsidRPr="00EB0888">
        <w:rPr>
          <w:rFonts w:cstheme="minorHAnsi"/>
          <w:sz w:val="24"/>
          <w:szCs w:val="24"/>
        </w:rPr>
        <w:t>alculations for the required minimum number of spaces equipped with Level 2 EVCS</w:t>
      </w:r>
      <w:r w:rsidRPr="00EB0888">
        <w:rPr>
          <w:rFonts w:cstheme="minorHAnsi"/>
          <w:sz w:val="24"/>
          <w:szCs w:val="24"/>
        </w:rPr>
        <w:t xml:space="preserve"> and </w:t>
      </w:r>
      <w:r w:rsidR="00EA4C2F" w:rsidRPr="00EB0888">
        <w:rPr>
          <w:rFonts w:cstheme="minorHAnsi"/>
          <w:sz w:val="24"/>
          <w:szCs w:val="24"/>
        </w:rPr>
        <w:t xml:space="preserve">Level </w:t>
      </w:r>
      <w:r w:rsidRPr="00EB0888">
        <w:rPr>
          <w:rFonts w:cstheme="minorHAnsi"/>
          <w:sz w:val="24"/>
          <w:szCs w:val="24"/>
        </w:rPr>
        <w:t>1</w:t>
      </w:r>
      <w:r w:rsidR="00EA4C2F" w:rsidRPr="00EB0888">
        <w:rPr>
          <w:rFonts w:cstheme="minorHAnsi"/>
          <w:sz w:val="24"/>
          <w:szCs w:val="24"/>
        </w:rPr>
        <w:t xml:space="preserve"> EV Ready spaces shall be rounded up to the nearest whole number</w:t>
      </w:r>
    </w:p>
    <w:p w14:paraId="5AD03059" w14:textId="40256723" w:rsidR="00244A40" w:rsidRPr="00EB0888" w:rsidRDefault="000A4823" w:rsidP="000419F7">
      <w:pPr>
        <w:ind w:left="1440"/>
        <w:rPr>
          <w:rFonts w:asciiTheme="minorHAnsi" w:hAnsiTheme="minorHAnsi" w:cstheme="minorHAnsi"/>
        </w:rPr>
      </w:pPr>
      <w:r w:rsidRPr="00EB0888">
        <w:rPr>
          <w:rFonts w:asciiTheme="minorHAnsi" w:hAnsiTheme="minorHAnsi" w:cstheme="minorHAnsi"/>
          <w:b/>
          <w:bCs/>
        </w:rPr>
        <w:t>Exception:</w:t>
      </w:r>
      <w:r w:rsidRPr="00EB0888">
        <w:rPr>
          <w:rFonts w:asciiTheme="minorHAnsi" w:hAnsiTheme="minorHAnsi" w:cstheme="minorHAnsi"/>
        </w:rPr>
        <w:t xml:space="preserve"> Installation of each</w:t>
      </w:r>
      <w:r w:rsidR="003C2762" w:rsidRPr="00EB0888">
        <w:rPr>
          <w:rFonts w:asciiTheme="minorHAnsi" w:hAnsiTheme="minorHAnsi" w:cstheme="minorHAnsi"/>
        </w:rPr>
        <w:t xml:space="preserve"> Direct Current Fast Charger with the capacity to provide at least 80 kW output </w:t>
      </w:r>
      <w:r w:rsidRPr="00EB0888">
        <w:rPr>
          <w:rFonts w:asciiTheme="minorHAnsi" w:hAnsiTheme="minorHAnsi" w:cstheme="minorHAnsi"/>
        </w:rPr>
        <w:t>may substitute for 6 Level 2 EVC</w:t>
      </w:r>
      <w:r w:rsidR="71CF21A5" w:rsidRPr="00EB0888">
        <w:rPr>
          <w:rFonts w:asciiTheme="minorHAnsi" w:hAnsiTheme="minorHAnsi" w:cstheme="minorHAnsi"/>
        </w:rPr>
        <w:t>S</w:t>
      </w:r>
      <w:r w:rsidRPr="00EB0888">
        <w:rPr>
          <w:rFonts w:asciiTheme="minorHAnsi" w:hAnsiTheme="minorHAnsi" w:cstheme="minorHAnsi"/>
        </w:rPr>
        <w:t xml:space="preserve"> and 5 EV</w:t>
      </w:r>
      <w:r w:rsidR="002D2442" w:rsidRPr="00EB0888">
        <w:rPr>
          <w:rFonts w:asciiTheme="minorHAnsi" w:hAnsiTheme="minorHAnsi" w:cstheme="minorHAnsi"/>
        </w:rPr>
        <w:t xml:space="preserve"> </w:t>
      </w:r>
      <w:r w:rsidRPr="00EB0888">
        <w:rPr>
          <w:rFonts w:asciiTheme="minorHAnsi" w:hAnsiTheme="minorHAnsi" w:cstheme="minorHAnsi"/>
        </w:rPr>
        <w:t>Ready spaces after a minimum of 6 Level 2 EVC</w:t>
      </w:r>
      <w:r w:rsidR="71CF21A5" w:rsidRPr="00EB0888">
        <w:rPr>
          <w:rFonts w:asciiTheme="minorHAnsi" w:hAnsiTheme="minorHAnsi" w:cstheme="minorHAnsi"/>
        </w:rPr>
        <w:t>S</w:t>
      </w:r>
      <w:r w:rsidRPr="00EB0888">
        <w:rPr>
          <w:rFonts w:asciiTheme="minorHAnsi" w:hAnsiTheme="minorHAnsi" w:cstheme="minorHAnsi"/>
        </w:rPr>
        <w:t xml:space="preserve"> and 5 Level 1 EV</w:t>
      </w:r>
      <w:r w:rsidR="002D2442" w:rsidRPr="00EB0888">
        <w:rPr>
          <w:rFonts w:asciiTheme="minorHAnsi" w:hAnsiTheme="minorHAnsi" w:cstheme="minorHAnsi"/>
        </w:rPr>
        <w:t xml:space="preserve"> </w:t>
      </w:r>
      <w:r w:rsidRPr="00EB0888">
        <w:rPr>
          <w:rFonts w:asciiTheme="minorHAnsi" w:hAnsiTheme="minorHAnsi" w:cstheme="minorHAnsi"/>
        </w:rPr>
        <w:t>Ready spaces</w:t>
      </w:r>
      <w:r w:rsidR="00581CD8" w:rsidRPr="00EB0888">
        <w:rPr>
          <w:rFonts w:asciiTheme="minorHAnsi" w:hAnsiTheme="minorHAnsi" w:cstheme="minorHAnsi"/>
        </w:rPr>
        <w:t xml:space="preserve"> are installed</w:t>
      </w:r>
      <w:r w:rsidR="003C2762" w:rsidRPr="00EB0888">
        <w:rPr>
          <w:rFonts w:asciiTheme="minorHAnsi" w:hAnsiTheme="minorHAnsi" w:cstheme="minorHAnsi"/>
        </w:rPr>
        <w:t>.</w:t>
      </w:r>
    </w:p>
    <w:p w14:paraId="58EAA3C7" w14:textId="77777777" w:rsidR="00514244" w:rsidRPr="00EB0888" w:rsidRDefault="00514244">
      <w:pPr>
        <w:ind w:left="720"/>
        <w:rPr>
          <w:rFonts w:asciiTheme="minorHAnsi" w:hAnsiTheme="minorHAnsi" w:cstheme="minorHAnsi"/>
          <w:b/>
          <w:bCs/>
        </w:rPr>
      </w:pPr>
    </w:p>
    <w:p w14:paraId="7D4DB808" w14:textId="5813C6F8" w:rsidR="00654F01" w:rsidRPr="00EB0888" w:rsidRDefault="000627BD" w:rsidP="000419F7">
      <w:pPr>
        <w:ind w:left="720"/>
        <w:rPr>
          <w:rFonts w:asciiTheme="minorHAnsi" w:hAnsiTheme="minorHAnsi" w:cstheme="minorHAnsi"/>
          <w:b/>
          <w:bCs/>
        </w:rPr>
      </w:pPr>
      <w:r w:rsidRPr="00EB0888">
        <w:rPr>
          <w:rFonts w:asciiTheme="minorHAnsi" w:hAnsiTheme="minorHAnsi" w:cstheme="minorHAnsi"/>
          <w:b/>
          <w:bCs/>
        </w:rPr>
        <w:t>5.106.5.3.</w:t>
      </w:r>
      <w:r w:rsidR="000A4823" w:rsidRPr="00EB0888">
        <w:rPr>
          <w:rFonts w:asciiTheme="minorHAnsi" w:hAnsiTheme="minorHAnsi" w:cstheme="minorHAnsi"/>
          <w:b/>
          <w:bCs/>
        </w:rPr>
        <w:t>3</w:t>
      </w:r>
      <w:r w:rsidRPr="00EB0888">
        <w:rPr>
          <w:rFonts w:asciiTheme="minorHAnsi" w:hAnsiTheme="minorHAnsi" w:cstheme="minorHAnsi"/>
          <w:b/>
        </w:rPr>
        <w:tab/>
      </w:r>
      <w:r w:rsidR="00654F01" w:rsidRPr="00EB0888">
        <w:rPr>
          <w:rFonts w:asciiTheme="minorHAnsi" w:hAnsiTheme="minorHAnsi" w:cstheme="minorHAnsi"/>
          <w:b/>
          <w:bCs/>
        </w:rPr>
        <w:t>Good Design Practices</w:t>
      </w:r>
      <w:r w:rsidR="00654F01" w:rsidRPr="00EB0888">
        <w:rPr>
          <w:rFonts w:asciiTheme="minorHAnsi" w:hAnsiTheme="minorHAnsi" w:cstheme="minorHAnsi"/>
        </w:rPr>
        <w:t xml:space="preserve">. </w:t>
      </w:r>
      <w:r w:rsidR="00654F01" w:rsidRPr="00EB0888">
        <w:rPr>
          <w:rFonts w:asciiTheme="minorHAnsi" w:hAnsiTheme="minorHAnsi" w:cstheme="minorHAnsi"/>
          <w:color w:val="313335"/>
        </w:rPr>
        <w:t xml:space="preserve">For all projects subject to </w:t>
      </w:r>
      <w:r w:rsidR="009C0837" w:rsidRPr="00EB0888">
        <w:rPr>
          <w:rFonts w:asciiTheme="minorHAnsi" w:hAnsiTheme="minorHAnsi" w:cstheme="minorHAnsi"/>
          <w:color w:val="313335"/>
        </w:rPr>
        <w:t>Title 24</w:t>
      </w:r>
      <w:r w:rsidR="00654F01" w:rsidRPr="00EB0888">
        <w:rPr>
          <w:rFonts w:asciiTheme="minorHAnsi" w:hAnsiTheme="minorHAnsi" w:cstheme="minorHAnsi"/>
          <w:color w:val="313335"/>
        </w:rPr>
        <w:t xml:space="preserve">, </w:t>
      </w:r>
      <w:r w:rsidR="00176820" w:rsidRPr="00EB0888">
        <w:rPr>
          <w:rFonts w:asciiTheme="minorHAnsi" w:hAnsiTheme="minorHAnsi" w:cstheme="minorHAnsi"/>
          <w:color w:val="313335"/>
        </w:rPr>
        <w:t xml:space="preserve">Part 2, </w:t>
      </w:r>
      <w:r w:rsidR="003438B4" w:rsidRPr="00EB0888">
        <w:rPr>
          <w:rFonts w:asciiTheme="minorHAnsi" w:hAnsiTheme="minorHAnsi" w:cstheme="minorHAnsi"/>
          <w:color w:val="313335"/>
        </w:rPr>
        <w:t>Chapter</w:t>
      </w:r>
      <w:r w:rsidR="00654F01" w:rsidRPr="00EB0888">
        <w:rPr>
          <w:rFonts w:asciiTheme="minorHAnsi" w:hAnsiTheme="minorHAnsi" w:cstheme="minorHAnsi"/>
          <w:color w:val="313335"/>
        </w:rPr>
        <w:t xml:space="preserve"> 11B,</w:t>
      </w:r>
      <w:r w:rsidR="00654F01" w:rsidRPr="00EB0888">
        <w:rPr>
          <w:rFonts w:asciiTheme="minorHAnsi" w:hAnsiTheme="minorHAnsi" w:cstheme="minorHAnsi"/>
          <w:color w:val="000000"/>
        </w:rPr>
        <w:t xml:space="preserve"> construction documents shall indicate how many accessible EVCS would be required under the California Code of Regulations Title 24, Chapter 11B, if applicable, in order to convert </w:t>
      </w:r>
      <w:r w:rsidR="00A6584D" w:rsidRPr="00EB0888">
        <w:rPr>
          <w:rFonts w:asciiTheme="minorHAnsi" w:hAnsiTheme="minorHAnsi" w:cstheme="minorHAnsi"/>
          <w:color w:val="000000"/>
        </w:rPr>
        <w:t xml:space="preserve">Level 1 </w:t>
      </w:r>
      <w:r w:rsidR="00EA2DF8" w:rsidRPr="00EB0888">
        <w:rPr>
          <w:rFonts w:asciiTheme="minorHAnsi" w:hAnsiTheme="minorHAnsi" w:cstheme="minorHAnsi"/>
          <w:color w:val="000000"/>
        </w:rPr>
        <w:t>EV Ready</w:t>
      </w:r>
      <w:r w:rsidR="0044726C" w:rsidRPr="00EB0888">
        <w:rPr>
          <w:rFonts w:asciiTheme="minorHAnsi" w:hAnsiTheme="minorHAnsi" w:cstheme="minorHAnsi"/>
          <w:color w:val="000000"/>
        </w:rPr>
        <w:t xml:space="preserve"> </w:t>
      </w:r>
      <w:r w:rsidR="000A4823" w:rsidRPr="00EB0888">
        <w:rPr>
          <w:rFonts w:asciiTheme="minorHAnsi" w:hAnsiTheme="minorHAnsi" w:cstheme="minorHAnsi"/>
          <w:color w:val="000000"/>
        </w:rPr>
        <w:t>infrastructure</w:t>
      </w:r>
      <w:r w:rsidR="00654F01" w:rsidRPr="00EB0888">
        <w:rPr>
          <w:rFonts w:asciiTheme="minorHAnsi" w:hAnsiTheme="minorHAnsi" w:cstheme="minorHAnsi"/>
          <w:color w:val="000000"/>
        </w:rPr>
        <w:t xml:space="preserve"> to EVCS.</w:t>
      </w:r>
      <w:r w:rsidR="00654F01" w:rsidRPr="00EB0888">
        <w:rPr>
          <w:rFonts w:asciiTheme="minorHAnsi" w:hAnsiTheme="minorHAnsi" w:cstheme="minorHAnsi"/>
          <w:b/>
          <w:bCs/>
          <w:color w:val="000000"/>
        </w:rPr>
        <w:t xml:space="preserve"> </w:t>
      </w:r>
      <w:r w:rsidR="00654F01" w:rsidRPr="00EB0888">
        <w:rPr>
          <w:rFonts w:asciiTheme="minorHAnsi" w:hAnsiTheme="minorHAnsi" w:cstheme="minorHAnsi"/>
          <w:color w:val="000000"/>
        </w:rPr>
        <w:t xml:space="preserve"> Construction documents shall also demonstrate that the facility is designed such that compliance with accessibility standards, including </w:t>
      </w:r>
      <w:r w:rsidR="003438B4" w:rsidRPr="00EB0888">
        <w:rPr>
          <w:rFonts w:asciiTheme="minorHAnsi" w:hAnsiTheme="minorHAnsi" w:cstheme="minorHAnsi"/>
          <w:color w:val="000000"/>
        </w:rPr>
        <w:t>Chapter</w:t>
      </w:r>
      <w:r w:rsidR="00654F01" w:rsidRPr="00EB0888">
        <w:rPr>
          <w:rFonts w:asciiTheme="minorHAnsi" w:hAnsiTheme="minorHAnsi" w:cstheme="minorHAnsi"/>
          <w:color w:val="000000"/>
        </w:rPr>
        <w:t xml:space="preserve"> 11B accessible routes, will be feasible for the required accessible EVCS at the time of EVCS installation. Surface slope for any area designated for accessible EVCS shall meet slope requirements in </w:t>
      </w:r>
      <w:r w:rsidR="003438B4" w:rsidRPr="00EB0888">
        <w:rPr>
          <w:rFonts w:asciiTheme="minorHAnsi" w:hAnsiTheme="minorHAnsi" w:cstheme="minorHAnsi"/>
          <w:color w:val="000000"/>
        </w:rPr>
        <w:t>Chapter</w:t>
      </w:r>
      <w:r w:rsidR="00654F01" w:rsidRPr="00EB0888">
        <w:rPr>
          <w:rFonts w:asciiTheme="minorHAnsi" w:hAnsiTheme="minorHAnsi" w:cstheme="minorHAnsi"/>
          <w:color w:val="000000"/>
        </w:rPr>
        <w:t xml:space="preserve"> 11B and vertical clearance requirements in </w:t>
      </w:r>
      <w:r w:rsidR="003438B4" w:rsidRPr="00EB0888">
        <w:rPr>
          <w:rFonts w:asciiTheme="minorHAnsi" w:hAnsiTheme="minorHAnsi" w:cstheme="minorHAnsi"/>
          <w:color w:val="000000"/>
        </w:rPr>
        <w:t>Chapter</w:t>
      </w:r>
      <w:r w:rsidR="00654F01" w:rsidRPr="00EB0888">
        <w:rPr>
          <w:rFonts w:asciiTheme="minorHAnsi" w:hAnsiTheme="minorHAnsi" w:cstheme="minorHAnsi"/>
          <w:color w:val="000000"/>
        </w:rPr>
        <w:t xml:space="preserve"> 11B at the time of original building construction</w:t>
      </w:r>
      <w:r w:rsidR="000A4823" w:rsidRPr="00EB0888">
        <w:rPr>
          <w:rFonts w:asciiTheme="minorHAnsi" w:hAnsiTheme="minorHAnsi" w:cstheme="minorHAnsi"/>
          <w:color w:val="000000"/>
        </w:rPr>
        <w:t>.</w:t>
      </w:r>
      <w:r w:rsidR="00654F01" w:rsidRPr="00EB0888">
        <w:rPr>
          <w:rFonts w:asciiTheme="minorHAnsi" w:hAnsiTheme="minorHAnsi" w:cstheme="minorHAnsi"/>
          <w:b/>
          <w:bCs/>
        </w:rPr>
        <w:t xml:space="preserve"> </w:t>
      </w:r>
    </w:p>
    <w:p w14:paraId="73481B55" w14:textId="77777777" w:rsidR="002C6DFE" w:rsidRPr="00EB0888" w:rsidRDefault="002C6DFE" w:rsidP="000419F7">
      <w:pPr>
        <w:ind w:left="720"/>
        <w:rPr>
          <w:rFonts w:asciiTheme="minorHAnsi" w:hAnsiTheme="minorHAnsi" w:cstheme="minorHAnsi"/>
          <w:b/>
          <w:bCs/>
        </w:rPr>
      </w:pPr>
    </w:p>
    <w:p w14:paraId="653454E9" w14:textId="5E1336B6" w:rsidR="000627BD" w:rsidRPr="00EB0888" w:rsidRDefault="00654F01" w:rsidP="000419F7">
      <w:pPr>
        <w:ind w:left="720"/>
        <w:rPr>
          <w:rFonts w:asciiTheme="minorHAnsi" w:hAnsiTheme="minorHAnsi" w:cstheme="minorHAnsi"/>
        </w:rPr>
      </w:pPr>
      <w:r w:rsidRPr="00EB0888">
        <w:rPr>
          <w:rFonts w:asciiTheme="minorHAnsi" w:hAnsiTheme="minorHAnsi" w:cstheme="minorHAnsi"/>
          <w:b/>
          <w:bCs/>
        </w:rPr>
        <w:t>5.106.5.3.</w:t>
      </w:r>
      <w:r w:rsidR="001664E4" w:rsidRPr="00EB0888">
        <w:rPr>
          <w:rFonts w:asciiTheme="minorHAnsi" w:hAnsiTheme="minorHAnsi" w:cstheme="minorHAnsi"/>
          <w:b/>
          <w:bCs/>
        </w:rPr>
        <w:t>5</w:t>
      </w:r>
      <w:r w:rsidR="00472274" w:rsidRPr="00EB0888">
        <w:rPr>
          <w:rFonts w:asciiTheme="minorHAnsi" w:hAnsiTheme="minorHAnsi" w:cstheme="minorHAnsi"/>
          <w:b/>
          <w:bCs/>
        </w:rPr>
        <w:t xml:space="preserve"> Clean Air Vehicle Parking Designation.</w:t>
      </w:r>
      <w:r w:rsidR="000627BD" w:rsidRPr="00EB0888">
        <w:rPr>
          <w:rFonts w:asciiTheme="minorHAnsi" w:hAnsiTheme="minorHAnsi" w:cstheme="minorHAnsi"/>
        </w:rPr>
        <w:t xml:space="preserve"> </w:t>
      </w:r>
      <w:r w:rsidR="00A43593" w:rsidRPr="00EB0888">
        <w:rPr>
          <w:rFonts w:asciiTheme="minorHAnsi" w:hAnsiTheme="minorHAnsi" w:cstheme="minorHAnsi"/>
        </w:rPr>
        <w:t>EVCS</w:t>
      </w:r>
      <w:r w:rsidR="000627BD" w:rsidRPr="00EB0888">
        <w:rPr>
          <w:rFonts w:asciiTheme="minorHAnsi" w:hAnsiTheme="minorHAnsi" w:cstheme="minorHAnsi"/>
        </w:rPr>
        <w:t xml:space="preserve"> qualify as designated parking as described in Section 5.106.5.2 Designated parking for clean air vehicles.</w:t>
      </w:r>
    </w:p>
    <w:p w14:paraId="2226D317" w14:textId="77777777" w:rsidR="00184804" w:rsidRPr="00EB0888" w:rsidRDefault="00184804" w:rsidP="000419F7">
      <w:pPr>
        <w:ind w:left="720"/>
        <w:rPr>
          <w:rFonts w:asciiTheme="minorHAnsi" w:hAnsiTheme="minorHAnsi" w:cstheme="minorHAnsi"/>
        </w:rPr>
      </w:pPr>
    </w:p>
    <w:p w14:paraId="23AA578C" w14:textId="77777777" w:rsidR="000627BD" w:rsidRPr="00EB0888" w:rsidRDefault="000627BD" w:rsidP="000419F7">
      <w:pPr>
        <w:ind w:left="1440"/>
        <w:rPr>
          <w:rFonts w:asciiTheme="minorHAnsi" w:hAnsiTheme="minorHAnsi" w:cstheme="minorHAnsi"/>
          <w:b/>
          <w:bCs/>
        </w:rPr>
      </w:pPr>
      <w:r w:rsidRPr="00EB0888">
        <w:rPr>
          <w:rFonts w:asciiTheme="minorHAnsi" w:hAnsiTheme="minorHAnsi" w:cstheme="minorHAnsi"/>
          <w:b/>
          <w:bCs/>
        </w:rPr>
        <w:lastRenderedPageBreak/>
        <w:t>Notes:</w:t>
      </w:r>
    </w:p>
    <w:p w14:paraId="58ED54B9" w14:textId="00E57084" w:rsidR="000627BD" w:rsidRPr="00EB0888" w:rsidRDefault="000627BD" w:rsidP="00E42E17">
      <w:pPr>
        <w:pStyle w:val="ListParagraph"/>
        <w:numPr>
          <w:ilvl w:val="0"/>
          <w:numId w:val="31"/>
        </w:numPr>
        <w:ind w:left="2160"/>
        <w:contextualSpacing w:val="0"/>
        <w:rPr>
          <w:rFonts w:cstheme="minorHAnsi"/>
          <w:sz w:val="24"/>
          <w:szCs w:val="24"/>
        </w:rPr>
      </w:pPr>
      <w:r w:rsidRPr="00EB0888">
        <w:rPr>
          <w:rFonts w:cstheme="minorHAnsi"/>
          <w:sz w:val="24"/>
          <w:szCs w:val="24"/>
        </w:rPr>
        <w:t>The California Department of Transportation adopts and publishes the California Manual on Uniform Traffic Control Devices (California MUTCD) to provide uniform standards and specifications for all official traffic control devices in California. Zero Emission Vehicle Signs and Pavement Markings can be found in the New Policies &amp; Directives number 13-01. www.dot.ca.gov/hq/traffops/policy/13-01.pdf.</w:t>
      </w:r>
    </w:p>
    <w:p w14:paraId="1E0FBB67" w14:textId="0B0E520B" w:rsidR="000627BD" w:rsidRPr="00EB0888" w:rsidRDefault="000627BD" w:rsidP="00E42E17">
      <w:pPr>
        <w:pStyle w:val="ListParagraph"/>
        <w:numPr>
          <w:ilvl w:val="0"/>
          <w:numId w:val="31"/>
        </w:numPr>
        <w:ind w:left="2160"/>
        <w:contextualSpacing w:val="0"/>
        <w:rPr>
          <w:rFonts w:cstheme="minorHAnsi"/>
          <w:sz w:val="24"/>
          <w:szCs w:val="24"/>
        </w:rPr>
      </w:pPr>
      <w:r w:rsidRPr="00EB0888">
        <w:rPr>
          <w:rFonts w:cstheme="minorHAnsi"/>
          <w:sz w:val="24"/>
          <w:szCs w:val="24"/>
        </w:rPr>
        <w:t>See Vehicle Code Section 22511 for EV charging spaces signage in off-street parking facilities and for use of EV charging spaces.</w:t>
      </w:r>
    </w:p>
    <w:p w14:paraId="376493E7" w14:textId="0257A2C8" w:rsidR="000627BD" w:rsidRPr="00EB0888" w:rsidRDefault="000627BD" w:rsidP="00E42E17">
      <w:pPr>
        <w:pStyle w:val="ListParagraph"/>
        <w:numPr>
          <w:ilvl w:val="0"/>
          <w:numId w:val="31"/>
        </w:numPr>
        <w:ind w:left="2160"/>
        <w:contextualSpacing w:val="0"/>
        <w:rPr>
          <w:rFonts w:cstheme="minorHAnsi"/>
          <w:sz w:val="24"/>
          <w:szCs w:val="24"/>
        </w:rPr>
      </w:pPr>
      <w:r w:rsidRPr="00EB0888">
        <w:rPr>
          <w:rFonts w:cstheme="minorHAnsi"/>
          <w:sz w:val="24"/>
          <w:szCs w:val="24"/>
        </w:rPr>
        <w:t>The Governor’s Office of Planning and Research published a Zero-Emission Vehicle Community Readiness Guidebook which provides helpful information for local governments, residents and businesses. www.opr.ca.gov/ docs/ZEV_Guidebook.pdf.</w:t>
      </w:r>
    </w:p>
    <w:p w14:paraId="0C663C24" w14:textId="21040DA9" w:rsidR="00654F01" w:rsidRPr="00EB0888" w:rsidRDefault="00396F92" w:rsidP="00E42E17">
      <w:pPr>
        <w:pStyle w:val="ListParagraph"/>
        <w:numPr>
          <w:ilvl w:val="0"/>
          <w:numId w:val="31"/>
        </w:numPr>
        <w:ind w:left="2160"/>
        <w:contextualSpacing w:val="0"/>
        <w:rPr>
          <w:rFonts w:cstheme="minorHAnsi"/>
          <w:sz w:val="24"/>
          <w:szCs w:val="24"/>
        </w:rPr>
      </w:pPr>
      <w:r w:rsidRPr="00EB0888">
        <w:rPr>
          <w:rFonts w:cstheme="minorHAnsi"/>
          <w:sz w:val="24"/>
          <w:szCs w:val="24"/>
        </w:rPr>
        <w:t>Section</w:t>
      </w:r>
      <w:r w:rsidR="00654F01" w:rsidRPr="00EB0888">
        <w:rPr>
          <w:rFonts w:cstheme="minorHAnsi"/>
          <w:sz w:val="24"/>
          <w:szCs w:val="24"/>
        </w:rPr>
        <w:t xml:space="preserve"> 11B-812 of the 2016 California Building Code requires that a facility providing EVCS for public and common use also provide one or more accessible EVCS as specified in Table 11B-228.3.2.1. Chapter 11B applies to certain facilities including, but not limited to, public accommodations and publicly funded housing (see section 1.9 of Part 2 of the California Building Code). </w:t>
      </w:r>
      <w:r w:rsidRPr="00EB0888">
        <w:rPr>
          <w:rFonts w:cstheme="minorHAnsi"/>
          <w:sz w:val="24"/>
          <w:szCs w:val="24"/>
        </w:rPr>
        <w:t>Section</w:t>
      </w:r>
      <w:r w:rsidR="00654F01" w:rsidRPr="00EB0888">
        <w:rPr>
          <w:rFonts w:cstheme="minorHAnsi"/>
          <w:sz w:val="24"/>
          <w:szCs w:val="24"/>
        </w:rPr>
        <w:t xml:space="preserve"> 11B-812 requires that “Parking spaces, access aisles and vehicular routes serving them shall provide a vertical clearance of 98 inches (2489 mm) minimum.” It also requires that parking spaces and access aisles meet maximum slope requirements of 1 unit vertical in 48 units horizontal (2.083 percent slope) in any direction at the time of new building construction or renovation. </w:t>
      </w:r>
      <w:r w:rsidRPr="00EB0888">
        <w:rPr>
          <w:rFonts w:cstheme="minorHAnsi"/>
          <w:sz w:val="24"/>
          <w:szCs w:val="24"/>
        </w:rPr>
        <w:t>Section</w:t>
      </w:r>
      <w:r w:rsidR="00654F01" w:rsidRPr="00EB0888">
        <w:rPr>
          <w:rFonts w:cstheme="minorHAnsi"/>
          <w:sz w:val="24"/>
          <w:szCs w:val="24"/>
        </w:rPr>
        <w:t xml:space="preserve"> 11B-812.5 contains accessible route requirements</w:t>
      </w:r>
      <w:r w:rsidR="006B3934" w:rsidRPr="00EB0888">
        <w:rPr>
          <w:rFonts w:cstheme="minorHAnsi"/>
          <w:sz w:val="24"/>
          <w:szCs w:val="24"/>
        </w:rPr>
        <w:t>.</w:t>
      </w:r>
    </w:p>
    <w:sectPr w:rsidR="00654F01" w:rsidRPr="00EB0888" w:rsidSect="00EF2A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29A2" w14:textId="77777777" w:rsidR="0033430F" w:rsidRDefault="0033430F">
      <w:r>
        <w:separator/>
      </w:r>
    </w:p>
  </w:endnote>
  <w:endnote w:type="continuationSeparator" w:id="0">
    <w:p w14:paraId="73C36A35" w14:textId="77777777" w:rsidR="0033430F" w:rsidRDefault="0033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61125"/>
      <w:docPartObj>
        <w:docPartGallery w:val="Page Numbers (Bottom of Page)"/>
        <w:docPartUnique/>
      </w:docPartObj>
    </w:sdtPr>
    <w:sdtEndPr>
      <w:rPr>
        <w:noProof/>
      </w:rPr>
    </w:sdtEndPr>
    <w:sdtContent>
      <w:p w14:paraId="52EA91B4" w14:textId="5B14C6B4" w:rsidR="00AB4132" w:rsidRDefault="00AB4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762C0" w14:textId="77777777" w:rsidR="00AB4132" w:rsidRDefault="00AB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EE71" w14:textId="77777777" w:rsidR="0033430F" w:rsidRDefault="0033430F">
      <w:r>
        <w:separator/>
      </w:r>
    </w:p>
  </w:footnote>
  <w:footnote w:type="continuationSeparator" w:id="0">
    <w:p w14:paraId="7F4CA1A6" w14:textId="77777777" w:rsidR="0033430F" w:rsidRDefault="0033430F">
      <w:r>
        <w:continuationSeparator/>
      </w:r>
    </w:p>
  </w:footnote>
  <w:footnote w:id="1">
    <w:p w14:paraId="42EB59ED" w14:textId="76FD1DCA" w:rsidR="00587E88" w:rsidRPr="00EB0888" w:rsidRDefault="00587E88" w:rsidP="00B83A21">
      <w:pPr>
        <w:rPr>
          <w:rFonts w:asciiTheme="minorHAnsi" w:hAnsiTheme="minorHAnsi" w:cstheme="minorHAnsi"/>
          <w:b/>
        </w:rPr>
      </w:pPr>
      <w:r w:rsidRPr="00EB0888">
        <w:rPr>
          <w:rStyle w:val="FootnoteReference"/>
          <w:rFonts w:asciiTheme="minorHAnsi" w:hAnsiTheme="minorHAnsi" w:cstheme="minorHAnsi"/>
        </w:rPr>
        <w:footnoteRef/>
      </w:r>
      <w:r w:rsidRPr="00EB0888">
        <w:rPr>
          <w:rFonts w:asciiTheme="minorHAnsi" w:hAnsiTheme="minorHAnsi" w:cstheme="minorHAnsi"/>
        </w:rPr>
        <w:t xml:space="preserve"> </w:t>
      </w:r>
      <w:bookmarkStart w:id="1" w:name="_Hlk13823378"/>
      <w:r w:rsidRPr="00EB0888">
        <w:rPr>
          <w:rFonts w:asciiTheme="minorHAnsi" w:hAnsiTheme="minorHAnsi" w:cstheme="minorHAnsi"/>
        </w:rPr>
        <w:t xml:space="preserve">The model reach code multifamily </w:t>
      </w:r>
      <w:r w:rsidR="00274326" w:rsidRPr="00EB0888">
        <w:rPr>
          <w:rFonts w:asciiTheme="minorHAnsi" w:hAnsiTheme="minorHAnsi" w:cstheme="minorHAnsi"/>
        </w:rPr>
        <w:t xml:space="preserve">$4,500 per unit-parking space </w:t>
      </w:r>
      <w:r w:rsidR="00982C1D" w:rsidRPr="00EB0888">
        <w:rPr>
          <w:rFonts w:asciiTheme="minorHAnsi" w:hAnsiTheme="minorHAnsi" w:cstheme="minorHAnsi"/>
        </w:rPr>
        <w:t xml:space="preserve">utility cost </w:t>
      </w:r>
      <w:r w:rsidRPr="00EB0888">
        <w:rPr>
          <w:rFonts w:asciiTheme="minorHAnsi" w:hAnsiTheme="minorHAnsi" w:cstheme="minorHAnsi"/>
        </w:rPr>
        <w:t xml:space="preserve">exemption </w:t>
      </w:r>
      <w:r w:rsidR="00BC0912" w:rsidRPr="00EB0888">
        <w:rPr>
          <w:rFonts w:asciiTheme="minorHAnsi" w:hAnsiTheme="minorHAnsi" w:cstheme="minorHAnsi"/>
        </w:rPr>
        <w:t xml:space="preserve">is based on </w:t>
      </w:r>
      <w:r w:rsidR="00EE09A1" w:rsidRPr="00EB0888">
        <w:rPr>
          <w:rFonts w:asciiTheme="minorHAnsi" w:hAnsiTheme="minorHAnsi" w:cstheme="minorHAnsi"/>
        </w:rPr>
        <w:t xml:space="preserve">extrapolating </w:t>
      </w:r>
      <w:r w:rsidR="00BC0912" w:rsidRPr="00EB0888">
        <w:rPr>
          <w:rFonts w:asciiTheme="minorHAnsi" w:hAnsiTheme="minorHAnsi" w:cstheme="minorHAnsi"/>
        </w:rPr>
        <w:t xml:space="preserve">the </w:t>
      </w:r>
      <w:proofErr w:type="spellStart"/>
      <w:r w:rsidR="00EE09A1" w:rsidRPr="00EB0888">
        <w:rPr>
          <w:rFonts w:asciiTheme="minorHAnsi" w:hAnsiTheme="minorHAnsi" w:cstheme="minorHAnsi"/>
        </w:rPr>
        <w:t>CALGreen</w:t>
      </w:r>
      <w:proofErr w:type="spellEnd"/>
      <w:r w:rsidR="00EE09A1" w:rsidRPr="00EB0888">
        <w:rPr>
          <w:rFonts w:asciiTheme="minorHAnsi" w:hAnsiTheme="minorHAnsi" w:cstheme="minorHAnsi"/>
        </w:rPr>
        <w:t xml:space="preserve"> 2019 </w:t>
      </w:r>
      <w:r w:rsidR="00BC0912" w:rsidRPr="00EB0888">
        <w:rPr>
          <w:rFonts w:asciiTheme="minorHAnsi" w:hAnsiTheme="minorHAnsi" w:cstheme="minorHAnsi"/>
        </w:rPr>
        <w:t xml:space="preserve">exemption </w:t>
      </w:r>
      <w:r w:rsidR="00EE09A1" w:rsidRPr="00EB0888">
        <w:rPr>
          <w:rFonts w:asciiTheme="minorHAnsi" w:hAnsiTheme="minorHAnsi" w:cstheme="minorHAnsi"/>
        </w:rPr>
        <w:t xml:space="preserve">(and associated charging infrastructure requirements) </w:t>
      </w:r>
      <w:r w:rsidR="00BC0912" w:rsidRPr="00EB0888">
        <w:rPr>
          <w:rFonts w:asciiTheme="minorHAnsi" w:hAnsiTheme="minorHAnsi" w:cstheme="minorHAnsi"/>
        </w:rPr>
        <w:t xml:space="preserve">to </w:t>
      </w:r>
      <w:r w:rsidR="007051DD" w:rsidRPr="00EB0888">
        <w:rPr>
          <w:rFonts w:asciiTheme="minorHAnsi" w:hAnsiTheme="minorHAnsi" w:cstheme="minorHAnsi"/>
        </w:rPr>
        <w:t xml:space="preserve">that of </w:t>
      </w:r>
      <w:r w:rsidR="00BC0912" w:rsidRPr="00EB0888">
        <w:rPr>
          <w:rFonts w:asciiTheme="minorHAnsi" w:hAnsiTheme="minorHAnsi" w:cstheme="minorHAnsi"/>
        </w:rPr>
        <w:t xml:space="preserve">the model reach code charging infrastructure requirements.  Specifically, the </w:t>
      </w:r>
      <w:proofErr w:type="spellStart"/>
      <w:r w:rsidR="00BC0912" w:rsidRPr="00EB0888">
        <w:rPr>
          <w:rFonts w:asciiTheme="minorHAnsi" w:hAnsiTheme="minorHAnsi" w:cstheme="minorHAnsi"/>
        </w:rPr>
        <w:t>CALGreen</w:t>
      </w:r>
      <w:proofErr w:type="spellEnd"/>
      <w:r w:rsidR="00BC0912" w:rsidRPr="00EB0888">
        <w:rPr>
          <w:rFonts w:asciiTheme="minorHAnsi" w:hAnsiTheme="minorHAnsi" w:cstheme="minorHAnsi"/>
        </w:rPr>
        <w:t xml:space="preserve"> 2019 code includes a</w:t>
      </w:r>
      <w:r w:rsidRPr="00EB0888">
        <w:rPr>
          <w:rFonts w:asciiTheme="minorHAnsi" w:hAnsiTheme="minorHAnsi" w:cstheme="minorHAnsi"/>
        </w:rPr>
        <w:t xml:space="preserve"> $400 per dwelling unit exception </w:t>
      </w:r>
      <w:r w:rsidR="00BC0912" w:rsidRPr="00EB0888">
        <w:rPr>
          <w:rFonts w:asciiTheme="minorHAnsi" w:hAnsiTheme="minorHAnsi" w:cstheme="minorHAnsi"/>
        </w:rPr>
        <w:t xml:space="preserve">and an </w:t>
      </w:r>
      <w:r w:rsidRPr="00EB0888">
        <w:rPr>
          <w:rFonts w:asciiTheme="minorHAnsi" w:hAnsiTheme="minorHAnsi" w:cstheme="minorHAnsi"/>
        </w:rPr>
        <w:t>associated 10% EV capable per parking space requirement</w:t>
      </w:r>
      <w:r w:rsidR="00BC0912" w:rsidRPr="00EB0888">
        <w:rPr>
          <w:rFonts w:asciiTheme="minorHAnsi" w:hAnsiTheme="minorHAnsi" w:cstheme="minorHAnsi"/>
        </w:rPr>
        <w:t>. The model reach code has a 100% EV ready requirement per dwelling unit parking space (</w:t>
      </w:r>
      <w:r w:rsidR="00982C1D" w:rsidRPr="00EB0888">
        <w:rPr>
          <w:rFonts w:asciiTheme="minorHAnsi" w:hAnsiTheme="minorHAnsi" w:cstheme="minorHAnsi"/>
        </w:rPr>
        <w:t xml:space="preserve">essentially </w:t>
      </w:r>
      <w:r w:rsidR="00BC0912" w:rsidRPr="00EB0888">
        <w:rPr>
          <w:rFonts w:asciiTheme="minorHAnsi" w:hAnsiTheme="minorHAnsi" w:cstheme="minorHAnsi"/>
        </w:rPr>
        <w:t xml:space="preserve">ten times that of the </w:t>
      </w:r>
      <w:proofErr w:type="spellStart"/>
      <w:r w:rsidR="00BC0912" w:rsidRPr="00EB0888">
        <w:rPr>
          <w:rFonts w:asciiTheme="minorHAnsi" w:hAnsiTheme="minorHAnsi" w:cstheme="minorHAnsi"/>
        </w:rPr>
        <w:t>CALGreen</w:t>
      </w:r>
      <w:proofErr w:type="spellEnd"/>
      <w:r w:rsidR="00BC0912" w:rsidRPr="00EB0888">
        <w:rPr>
          <w:rFonts w:asciiTheme="minorHAnsi" w:hAnsiTheme="minorHAnsi" w:cstheme="minorHAnsi"/>
        </w:rPr>
        <w:t xml:space="preserve"> code)</w:t>
      </w:r>
      <w:r w:rsidR="00274326" w:rsidRPr="00EB0888">
        <w:rPr>
          <w:rFonts w:asciiTheme="minorHAnsi" w:hAnsiTheme="minorHAnsi" w:cstheme="minorHAnsi"/>
        </w:rPr>
        <w:t xml:space="preserve"> equating to </w:t>
      </w:r>
      <w:r w:rsidR="007051DD" w:rsidRPr="00EB0888">
        <w:rPr>
          <w:rFonts w:asciiTheme="minorHAnsi" w:hAnsiTheme="minorHAnsi" w:cstheme="minorHAnsi"/>
        </w:rPr>
        <w:t>a</w:t>
      </w:r>
      <w:r w:rsidR="00274326" w:rsidRPr="00EB0888">
        <w:rPr>
          <w:rFonts w:asciiTheme="minorHAnsi" w:hAnsiTheme="minorHAnsi" w:cstheme="minorHAnsi"/>
        </w:rPr>
        <w:t xml:space="preserve"> </w:t>
      </w:r>
      <w:r w:rsidRPr="00EB0888">
        <w:rPr>
          <w:rFonts w:asciiTheme="minorHAnsi" w:hAnsiTheme="minorHAnsi" w:cstheme="minorHAnsi"/>
        </w:rPr>
        <w:t>$4,000 per impacted parking space</w:t>
      </w:r>
      <w:bookmarkEnd w:id="1"/>
      <w:r w:rsidR="00274326" w:rsidRPr="00EB0888">
        <w:rPr>
          <w:rFonts w:asciiTheme="minorHAnsi" w:hAnsiTheme="minorHAnsi" w:cstheme="minorHAnsi"/>
        </w:rPr>
        <w:t xml:space="preserve">.  </w:t>
      </w:r>
      <w:r w:rsidR="007051DD" w:rsidRPr="00EB0888">
        <w:rPr>
          <w:rFonts w:asciiTheme="minorHAnsi" w:hAnsiTheme="minorHAnsi" w:cstheme="minorHAnsi"/>
        </w:rPr>
        <w:t>Further</w:t>
      </w:r>
      <w:r w:rsidRPr="00EB0888">
        <w:rPr>
          <w:rFonts w:asciiTheme="minorHAnsi" w:hAnsiTheme="minorHAnsi" w:cstheme="minorHAnsi"/>
        </w:rPr>
        <w:t>, the $4,000 figure was adjusted to $4,500 to more accurately represent construction costs in San Mateo and Santa Clara Counties</w:t>
      </w:r>
      <w:r w:rsidR="0058071F" w:rsidRPr="00EB0888">
        <w:rPr>
          <w:rFonts w:asciiTheme="minorHAnsi" w:hAnsiTheme="minorHAnsi" w:cstheme="minorHAnsi"/>
        </w:rPr>
        <w:t xml:space="preserve"> as compared to the California average (https://lao.ca.gov/reports/2015/finance/housing-costs/housing-costs.aspx)</w:t>
      </w:r>
      <w:r w:rsidRPr="00EB0888">
        <w:rPr>
          <w:rFonts w:asciiTheme="minorHAnsi" w:hAnsiTheme="minorHAnsi" w:cstheme="minorHAnsi"/>
        </w:rPr>
        <w:t>. Finally, the exception was also broadened to address any on-site transformer costs.</w:t>
      </w:r>
    </w:p>
    <w:p w14:paraId="59E5C106" w14:textId="77777777" w:rsidR="00587E88" w:rsidRDefault="00587E88" w:rsidP="00587E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524E" w14:textId="49F6FF20" w:rsidR="00AB4132" w:rsidRDefault="00AB4132">
    <w:pPr>
      <w:pStyle w:val="Header"/>
      <w:jc w:val="center"/>
    </w:pPr>
    <w:r>
      <w:t>Electric Vehicle Infrastructure 2019 Reach Code Language</w:t>
    </w:r>
  </w:p>
  <w:p w14:paraId="7C146E54" w14:textId="2BA26CB5" w:rsidR="00AB4132" w:rsidRDefault="00AB4132">
    <w:pPr>
      <w:pStyle w:val="Header"/>
      <w:jc w:val="center"/>
    </w:pPr>
    <w:r>
      <w:t>CALGreen Format</w:t>
    </w:r>
  </w:p>
  <w:p w14:paraId="66748270" w14:textId="77777777" w:rsidR="00694018" w:rsidRDefault="00AB4132">
    <w:pPr>
      <w:pStyle w:val="Header"/>
      <w:jc w:val="center"/>
    </w:pPr>
    <w:r>
      <w:t xml:space="preserve">Version Date: </w:t>
    </w:r>
    <w:r w:rsidR="00844627">
      <w:t>10 July</w:t>
    </w:r>
    <w:r>
      <w:t xml:space="preserve"> 2019</w:t>
    </w:r>
    <w:r w:rsidR="00E97160">
      <w:t xml:space="preserve"> </w:t>
    </w:r>
  </w:p>
  <w:p w14:paraId="1A1E55AF" w14:textId="67EAE17B" w:rsidR="00AB4132" w:rsidRDefault="00E97160">
    <w:pPr>
      <w:pStyle w:val="Header"/>
      <w:jc w:val="center"/>
    </w:pPr>
    <w:r>
      <w:t>Update</w:t>
    </w:r>
    <w:r w:rsidR="00694018">
      <w:t xml:space="preserve"> to Original Version Date: 13 June 2019</w:t>
    </w:r>
  </w:p>
  <w:p w14:paraId="719DC863" w14:textId="3A842F39" w:rsidR="00AB4132" w:rsidRDefault="00AB4132" w:rsidP="004A02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6E50"/>
    <w:multiLevelType w:val="hybridMultilevel"/>
    <w:tmpl w:val="2D98A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A18"/>
    <w:multiLevelType w:val="hybridMultilevel"/>
    <w:tmpl w:val="4028A790"/>
    <w:lvl w:ilvl="0" w:tplc="D510884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0BDC"/>
    <w:multiLevelType w:val="hybridMultilevel"/>
    <w:tmpl w:val="7CC2A4E0"/>
    <w:lvl w:ilvl="0" w:tplc="C23E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81EAE"/>
    <w:multiLevelType w:val="hybridMultilevel"/>
    <w:tmpl w:val="509009A0"/>
    <w:lvl w:ilvl="0" w:tplc="D51088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F36B5A"/>
    <w:multiLevelType w:val="hybridMultilevel"/>
    <w:tmpl w:val="F8322BBA"/>
    <w:lvl w:ilvl="0" w:tplc="0409000F">
      <w:start w:val="1"/>
      <w:numFmt w:val="decimal"/>
      <w:lvlText w:val="%1."/>
      <w:lvlJc w:val="left"/>
      <w:pPr>
        <w:ind w:left="2160" w:hanging="360"/>
      </w:pPr>
      <w:rPr>
        <w:rFonts w:hint="default"/>
      </w:rPr>
    </w:lvl>
    <w:lvl w:ilvl="1" w:tplc="4EFA252E">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B1467F"/>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2A2DEA"/>
    <w:multiLevelType w:val="hybridMultilevel"/>
    <w:tmpl w:val="44C21EF0"/>
    <w:lvl w:ilvl="0" w:tplc="C144C5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70B36"/>
    <w:multiLevelType w:val="hybridMultilevel"/>
    <w:tmpl w:val="ADFC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54347"/>
    <w:multiLevelType w:val="hybridMultilevel"/>
    <w:tmpl w:val="012A04B8"/>
    <w:lvl w:ilvl="0" w:tplc="0AE40B98">
      <w:start w:val="1"/>
      <w:numFmt w:val="decimal"/>
      <w:lvlText w:val="%1."/>
      <w:lvlJc w:val="left"/>
      <w:pPr>
        <w:ind w:left="0" w:firstLine="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30C96"/>
    <w:multiLevelType w:val="hybridMultilevel"/>
    <w:tmpl w:val="7CC2A4E0"/>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436EA1"/>
    <w:multiLevelType w:val="hybridMultilevel"/>
    <w:tmpl w:val="EB1AE91E"/>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E11882"/>
    <w:multiLevelType w:val="hybridMultilevel"/>
    <w:tmpl w:val="DD521F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7C3CD8"/>
    <w:multiLevelType w:val="hybridMultilevel"/>
    <w:tmpl w:val="E8A82D60"/>
    <w:lvl w:ilvl="0" w:tplc="D5108846">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035716"/>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831989"/>
    <w:multiLevelType w:val="hybridMultilevel"/>
    <w:tmpl w:val="D706C200"/>
    <w:lvl w:ilvl="0" w:tplc="1CD47558">
      <w:start w:val="1"/>
      <w:numFmt w:val="decimal"/>
      <w:lvlText w:val="%1."/>
      <w:lvlJc w:val="left"/>
      <w:pPr>
        <w:ind w:left="765" w:hanging="360"/>
      </w:pPr>
      <w:rPr>
        <w:rFonts w:asciiTheme="minorHAnsi" w:eastAsiaTheme="minorHAnsi" w:hAnsiTheme="minorHAnsi" w:cstheme="minorBidi"/>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A154B77"/>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F13C53"/>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662A65"/>
    <w:multiLevelType w:val="hybridMultilevel"/>
    <w:tmpl w:val="1B2EF298"/>
    <w:lvl w:ilvl="0" w:tplc="3E88745E">
      <w:start w:val="1"/>
      <w:numFmt w:val="decimal"/>
      <w:lvlText w:val="%1."/>
      <w:lvlJc w:val="left"/>
      <w:pPr>
        <w:ind w:left="720" w:hanging="360"/>
      </w:pPr>
    </w:lvl>
    <w:lvl w:ilvl="1" w:tplc="9682867E">
      <w:start w:val="1"/>
      <w:numFmt w:val="lowerLetter"/>
      <w:lvlText w:val="%2."/>
      <w:lvlJc w:val="left"/>
      <w:pPr>
        <w:ind w:left="1440" w:hanging="360"/>
      </w:pPr>
    </w:lvl>
    <w:lvl w:ilvl="2" w:tplc="1892FB14">
      <w:start w:val="1"/>
      <w:numFmt w:val="lowerRoman"/>
      <w:lvlText w:val="%3."/>
      <w:lvlJc w:val="right"/>
      <w:pPr>
        <w:ind w:left="2160" w:hanging="180"/>
      </w:pPr>
    </w:lvl>
    <w:lvl w:ilvl="3" w:tplc="CB167ECE">
      <w:start w:val="1"/>
      <w:numFmt w:val="decimal"/>
      <w:lvlText w:val="%4."/>
      <w:lvlJc w:val="left"/>
      <w:pPr>
        <w:ind w:left="2880" w:hanging="360"/>
      </w:pPr>
    </w:lvl>
    <w:lvl w:ilvl="4" w:tplc="24E0F372">
      <w:start w:val="1"/>
      <w:numFmt w:val="lowerLetter"/>
      <w:lvlText w:val="%5."/>
      <w:lvlJc w:val="left"/>
      <w:pPr>
        <w:ind w:left="3600" w:hanging="360"/>
      </w:pPr>
    </w:lvl>
    <w:lvl w:ilvl="5" w:tplc="22A8F7F2">
      <w:start w:val="1"/>
      <w:numFmt w:val="lowerRoman"/>
      <w:lvlText w:val="%6."/>
      <w:lvlJc w:val="right"/>
      <w:pPr>
        <w:ind w:left="4320" w:hanging="180"/>
      </w:pPr>
    </w:lvl>
    <w:lvl w:ilvl="6" w:tplc="85A80150">
      <w:start w:val="1"/>
      <w:numFmt w:val="decimal"/>
      <w:lvlText w:val="%7."/>
      <w:lvlJc w:val="left"/>
      <w:pPr>
        <w:ind w:left="5040" w:hanging="360"/>
      </w:pPr>
    </w:lvl>
    <w:lvl w:ilvl="7" w:tplc="A588D718">
      <w:start w:val="1"/>
      <w:numFmt w:val="lowerLetter"/>
      <w:lvlText w:val="%8."/>
      <w:lvlJc w:val="left"/>
      <w:pPr>
        <w:ind w:left="5760" w:hanging="360"/>
      </w:pPr>
    </w:lvl>
    <w:lvl w:ilvl="8" w:tplc="2CC63388">
      <w:start w:val="1"/>
      <w:numFmt w:val="lowerRoman"/>
      <w:lvlText w:val="%9."/>
      <w:lvlJc w:val="right"/>
      <w:pPr>
        <w:ind w:left="6480" w:hanging="180"/>
      </w:pPr>
    </w:lvl>
  </w:abstractNum>
  <w:abstractNum w:abstractNumId="18" w15:restartNumberingAfterBreak="0">
    <w:nsid w:val="4F843935"/>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EB20D3"/>
    <w:multiLevelType w:val="hybridMultilevel"/>
    <w:tmpl w:val="5C966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2370B"/>
    <w:multiLevelType w:val="hybridMultilevel"/>
    <w:tmpl w:val="2C74E72A"/>
    <w:lvl w:ilvl="0" w:tplc="F348C30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F573F"/>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903C7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4EC09AA"/>
    <w:multiLevelType w:val="hybridMultilevel"/>
    <w:tmpl w:val="EB1AE91E"/>
    <w:lvl w:ilvl="0" w:tplc="0409000F">
      <w:start w:val="1"/>
      <w:numFmt w:val="decimal"/>
      <w:lvlText w:val="%1."/>
      <w:lvlJc w:val="left"/>
      <w:pPr>
        <w:ind w:left="1800" w:hanging="360"/>
      </w:pPr>
      <w:rPr>
        <w:rFonts w:hint="default"/>
      </w:rPr>
    </w:lvl>
    <w:lvl w:ilvl="1" w:tplc="4EFA252E">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DB4550"/>
    <w:multiLevelType w:val="hybridMultilevel"/>
    <w:tmpl w:val="4028A790"/>
    <w:lvl w:ilvl="0" w:tplc="D5108846">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D68DB"/>
    <w:multiLevelType w:val="hybridMultilevel"/>
    <w:tmpl w:val="DF4CE0FE"/>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265F23"/>
    <w:multiLevelType w:val="hybridMultilevel"/>
    <w:tmpl w:val="8834A18A"/>
    <w:lvl w:ilvl="0" w:tplc="47B43D2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9F7F99"/>
    <w:multiLevelType w:val="hybridMultilevel"/>
    <w:tmpl w:val="BBC04D68"/>
    <w:lvl w:ilvl="0" w:tplc="73B44270">
      <w:start w:val="1"/>
      <w:numFmt w:val="lowerLetter"/>
      <w:lvlText w:val="%1."/>
      <w:lvlJc w:val="left"/>
      <w:pPr>
        <w:ind w:left="2160" w:hanging="360"/>
      </w:pPr>
      <w:rPr>
        <w:rFonts w:hint="default"/>
        <w:color w:val="auto"/>
      </w:rPr>
    </w:lvl>
    <w:lvl w:ilvl="1" w:tplc="4EFA252E">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05249BC"/>
    <w:multiLevelType w:val="hybridMultilevel"/>
    <w:tmpl w:val="580C50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142D"/>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054621"/>
    <w:multiLevelType w:val="hybridMultilevel"/>
    <w:tmpl w:val="7CC2A4E0"/>
    <w:lvl w:ilvl="0" w:tplc="C23E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FB0D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2"/>
  </w:num>
  <w:num w:numId="3">
    <w:abstractNumId w:val="9"/>
  </w:num>
  <w:num w:numId="4">
    <w:abstractNumId w:val="2"/>
  </w:num>
  <w:num w:numId="5">
    <w:abstractNumId w:val="7"/>
  </w:num>
  <w:num w:numId="6">
    <w:abstractNumId w:val="14"/>
  </w:num>
  <w:num w:numId="7">
    <w:abstractNumId w:val="20"/>
  </w:num>
  <w:num w:numId="8">
    <w:abstractNumId w:val="19"/>
  </w:num>
  <w:num w:numId="9">
    <w:abstractNumId w:val="0"/>
  </w:num>
  <w:num w:numId="10">
    <w:abstractNumId w:val="26"/>
  </w:num>
  <w:num w:numId="11">
    <w:abstractNumId w:val="6"/>
  </w:num>
  <w:num w:numId="12">
    <w:abstractNumId w:val="8"/>
  </w:num>
  <w:num w:numId="13">
    <w:abstractNumId w:val="31"/>
  </w:num>
  <w:num w:numId="14">
    <w:abstractNumId w:val="4"/>
  </w:num>
  <w:num w:numId="15">
    <w:abstractNumId w:val="30"/>
  </w:num>
  <w:num w:numId="16">
    <w:abstractNumId w:val="11"/>
  </w:num>
  <w:num w:numId="17">
    <w:abstractNumId w:val="3"/>
  </w:num>
  <w:num w:numId="18">
    <w:abstractNumId w:val="1"/>
  </w:num>
  <w:num w:numId="19">
    <w:abstractNumId w:val="24"/>
  </w:num>
  <w:num w:numId="20">
    <w:abstractNumId w:val="12"/>
  </w:num>
  <w:num w:numId="21">
    <w:abstractNumId w:val="5"/>
  </w:num>
  <w:num w:numId="22">
    <w:abstractNumId w:val="21"/>
  </w:num>
  <w:num w:numId="23">
    <w:abstractNumId w:val="27"/>
  </w:num>
  <w:num w:numId="24">
    <w:abstractNumId w:val="16"/>
  </w:num>
  <w:num w:numId="25">
    <w:abstractNumId w:val="29"/>
  </w:num>
  <w:num w:numId="26">
    <w:abstractNumId w:val="15"/>
  </w:num>
  <w:num w:numId="27">
    <w:abstractNumId w:val="13"/>
  </w:num>
  <w:num w:numId="28">
    <w:abstractNumId w:val="18"/>
  </w:num>
  <w:num w:numId="29">
    <w:abstractNumId w:val="25"/>
  </w:num>
  <w:num w:numId="30">
    <w:abstractNumId w:val="10"/>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DA"/>
    <w:rsid w:val="00002780"/>
    <w:rsid w:val="00015E21"/>
    <w:rsid w:val="0002125A"/>
    <w:rsid w:val="00024F8B"/>
    <w:rsid w:val="000270A2"/>
    <w:rsid w:val="000419F7"/>
    <w:rsid w:val="00042BED"/>
    <w:rsid w:val="00044983"/>
    <w:rsid w:val="000627BD"/>
    <w:rsid w:val="00084AA6"/>
    <w:rsid w:val="00092ABB"/>
    <w:rsid w:val="000A4823"/>
    <w:rsid w:val="000A7D5D"/>
    <w:rsid w:val="000C2848"/>
    <w:rsid w:val="000C45AA"/>
    <w:rsid w:val="000E5818"/>
    <w:rsid w:val="00101965"/>
    <w:rsid w:val="00101B83"/>
    <w:rsid w:val="00107E67"/>
    <w:rsid w:val="001144FE"/>
    <w:rsid w:val="001516B6"/>
    <w:rsid w:val="00157FD6"/>
    <w:rsid w:val="00163800"/>
    <w:rsid w:val="0016588A"/>
    <w:rsid w:val="00166432"/>
    <w:rsid w:val="001664E4"/>
    <w:rsid w:val="00176820"/>
    <w:rsid w:val="00184804"/>
    <w:rsid w:val="00186190"/>
    <w:rsid w:val="00197083"/>
    <w:rsid w:val="001A3BE7"/>
    <w:rsid w:val="001B3751"/>
    <w:rsid w:val="001C2828"/>
    <w:rsid w:val="001D416E"/>
    <w:rsid w:val="001E654B"/>
    <w:rsid w:val="001F626B"/>
    <w:rsid w:val="00204111"/>
    <w:rsid w:val="00205292"/>
    <w:rsid w:val="00223527"/>
    <w:rsid w:val="002263FF"/>
    <w:rsid w:val="00235421"/>
    <w:rsid w:val="00244A40"/>
    <w:rsid w:val="0026484B"/>
    <w:rsid w:val="002734B1"/>
    <w:rsid w:val="00274326"/>
    <w:rsid w:val="002A272D"/>
    <w:rsid w:val="002B167E"/>
    <w:rsid w:val="002B6BC9"/>
    <w:rsid w:val="002C4783"/>
    <w:rsid w:val="002C6DFE"/>
    <w:rsid w:val="002D2442"/>
    <w:rsid w:val="002D483A"/>
    <w:rsid w:val="002E4DB2"/>
    <w:rsid w:val="002F3C39"/>
    <w:rsid w:val="002F7475"/>
    <w:rsid w:val="00316F58"/>
    <w:rsid w:val="00320E25"/>
    <w:rsid w:val="0033430F"/>
    <w:rsid w:val="003438B4"/>
    <w:rsid w:val="00346ED0"/>
    <w:rsid w:val="00383AE8"/>
    <w:rsid w:val="00385DB1"/>
    <w:rsid w:val="00396F92"/>
    <w:rsid w:val="003A6CB6"/>
    <w:rsid w:val="003B1154"/>
    <w:rsid w:val="003C2762"/>
    <w:rsid w:val="003E0383"/>
    <w:rsid w:val="003E0891"/>
    <w:rsid w:val="003E17C4"/>
    <w:rsid w:val="003F7799"/>
    <w:rsid w:val="004074CB"/>
    <w:rsid w:val="004105A4"/>
    <w:rsid w:val="00414AE0"/>
    <w:rsid w:val="004164E9"/>
    <w:rsid w:val="0042294F"/>
    <w:rsid w:val="004262E7"/>
    <w:rsid w:val="0043500B"/>
    <w:rsid w:val="004378EF"/>
    <w:rsid w:val="00440C83"/>
    <w:rsid w:val="00442DB8"/>
    <w:rsid w:val="0044726C"/>
    <w:rsid w:val="004559F4"/>
    <w:rsid w:val="00472274"/>
    <w:rsid w:val="00473E4D"/>
    <w:rsid w:val="00484759"/>
    <w:rsid w:val="00491F6D"/>
    <w:rsid w:val="0049441F"/>
    <w:rsid w:val="004A02D0"/>
    <w:rsid w:val="004C79B0"/>
    <w:rsid w:val="004D00E4"/>
    <w:rsid w:val="004D5DA4"/>
    <w:rsid w:val="004D7271"/>
    <w:rsid w:val="004E383C"/>
    <w:rsid w:val="004E419D"/>
    <w:rsid w:val="00512DD0"/>
    <w:rsid w:val="00514244"/>
    <w:rsid w:val="00517984"/>
    <w:rsid w:val="00533365"/>
    <w:rsid w:val="005440E9"/>
    <w:rsid w:val="0055218E"/>
    <w:rsid w:val="00553B5E"/>
    <w:rsid w:val="00560E43"/>
    <w:rsid w:val="00563990"/>
    <w:rsid w:val="0058071F"/>
    <w:rsid w:val="00581CD8"/>
    <w:rsid w:val="00587AA5"/>
    <w:rsid w:val="00587E88"/>
    <w:rsid w:val="005C2611"/>
    <w:rsid w:val="005F130D"/>
    <w:rsid w:val="005F5138"/>
    <w:rsid w:val="00605EF5"/>
    <w:rsid w:val="00612337"/>
    <w:rsid w:val="0061349A"/>
    <w:rsid w:val="00616E75"/>
    <w:rsid w:val="00627D75"/>
    <w:rsid w:val="0065135F"/>
    <w:rsid w:val="00654F01"/>
    <w:rsid w:val="006720E2"/>
    <w:rsid w:val="00673259"/>
    <w:rsid w:val="00674A63"/>
    <w:rsid w:val="00681527"/>
    <w:rsid w:val="0069272B"/>
    <w:rsid w:val="006936CE"/>
    <w:rsid w:val="00694018"/>
    <w:rsid w:val="006B0464"/>
    <w:rsid w:val="006B1EDA"/>
    <w:rsid w:val="006B3934"/>
    <w:rsid w:val="006C1FB2"/>
    <w:rsid w:val="006C5435"/>
    <w:rsid w:val="006D0A94"/>
    <w:rsid w:val="006D55CA"/>
    <w:rsid w:val="006E3D40"/>
    <w:rsid w:val="006F5A72"/>
    <w:rsid w:val="007051DD"/>
    <w:rsid w:val="0070550A"/>
    <w:rsid w:val="007122FD"/>
    <w:rsid w:val="007212B9"/>
    <w:rsid w:val="00723FD9"/>
    <w:rsid w:val="00737DD3"/>
    <w:rsid w:val="00765549"/>
    <w:rsid w:val="0076734D"/>
    <w:rsid w:val="007829DE"/>
    <w:rsid w:val="00790046"/>
    <w:rsid w:val="00792BA6"/>
    <w:rsid w:val="00794CBB"/>
    <w:rsid w:val="00794F2F"/>
    <w:rsid w:val="00796CCB"/>
    <w:rsid w:val="00797967"/>
    <w:rsid w:val="007B0DB7"/>
    <w:rsid w:val="007C6A04"/>
    <w:rsid w:val="007D0083"/>
    <w:rsid w:val="007D54E2"/>
    <w:rsid w:val="007D7854"/>
    <w:rsid w:val="007F050B"/>
    <w:rsid w:val="00830DDF"/>
    <w:rsid w:val="00834F8D"/>
    <w:rsid w:val="0083552E"/>
    <w:rsid w:val="00844627"/>
    <w:rsid w:val="00880EB4"/>
    <w:rsid w:val="0088347A"/>
    <w:rsid w:val="008A1199"/>
    <w:rsid w:val="008A3DA8"/>
    <w:rsid w:val="008E3A20"/>
    <w:rsid w:val="008E425A"/>
    <w:rsid w:val="008F073F"/>
    <w:rsid w:val="008F12B0"/>
    <w:rsid w:val="008F471C"/>
    <w:rsid w:val="008F772A"/>
    <w:rsid w:val="009277F8"/>
    <w:rsid w:val="00933EF5"/>
    <w:rsid w:val="00934BC9"/>
    <w:rsid w:val="00937A5A"/>
    <w:rsid w:val="00956BFB"/>
    <w:rsid w:val="00982C1D"/>
    <w:rsid w:val="00984E7C"/>
    <w:rsid w:val="009A0683"/>
    <w:rsid w:val="009A51DB"/>
    <w:rsid w:val="009B467E"/>
    <w:rsid w:val="009C0837"/>
    <w:rsid w:val="009C3CDB"/>
    <w:rsid w:val="009D15DD"/>
    <w:rsid w:val="009D2EAF"/>
    <w:rsid w:val="009D44D9"/>
    <w:rsid w:val="009E161D"/>
    <w:rsid w:val="009E5701"/>
    <w:rsid w:val="009F144C"/>
    <w:rsid w:val="009F4C5C"/>
    <w:rsid w:val="009F5E9D"/>
    <w:rsid w:val="00A01511"/>
    <w:rsid w:val="00A016B2"/>
    <w:rsid w:val="00A02741"/>
    <w:rsid w:val="00A02845"/>
    <w:rsid w:val="00A35DF5"/>
    <w:rsid w:val="00A43593"/>
    <w:rsid w:val="00A44AA6"/>
    <w:rsid w:val="00A536BA"/>
    <w:rsid w:val="00A5789C"/>
    <w:rsid w:val="00A604EB"/>
    <w:rsid w:val="00A60810"/>
    <w:rsid w:val="00A61EBF"/>
    <w:rsid w:val="00A6584D"/>
    <w:rsid w:val="00A65B95"/>
    <w:rsid w:val="00A8338E"/>
    <w:rsid w:val="00A85A06"/>
    <w:rsid w:val="00AA20B3"/>
    <w:rsid w:val="00AA4045"/>
    <w:rsid w:val="00AA58F0"/>
    <w:rsid w:val="00AA5F38"/>
    <w:rsid w:val="00AB4132"/>
    <w:rsid w:val="00AB68B4"/>
    <w:rsid w:val="00AD0419"/>
    <w:rsid w:val="00AD101A"/>
    <w:rsid w:val="00AE2B15"/>
    <w:rsid w:val="00B01756"/>
    <w:rsid w:val="00B548B5"/>
    <w:rsid w:val="00B66E1D"/>
    <w:rsid w:val="00B7177F"/>
    <w:rsid w:val="00B83A21"/>
    <w:rsid w:val="00B938A8"/>
    <w:rsid w:val="00BC0912"/>
    <w:rsid w:val="00C120FF"/>
    <w:rsid w:val="00C277CF"/>
    <w:rsid w:val="00C27A79"/>
    <w:rsid w:val="00C41AD2"/>
    <w:rsid w:val="00C564E0"/>
    <w:rsid w:val="00C56961"/>
    <w:rsid w:val="00C70FBF"/>
    <w:rsid w:val="00C7305A"/>
    <w:rsid w:val="00C92D49"/>
    <w:rsid w:val="00CB3F32"/>
    <w:rsid w:val="00CD3385"/>
    <w:rsid w:val="00D25975"/>
    <w:rsid w:val="00D26026"/>
    <w:rsid w:val="00D27AAB"/>
    <w:rsid w:val="00D27EB7"/>
    <w:rsid w:val="00D35C36"/>
    <w:rsid w:val="00D41BD2"/>
    <w:rsid w:val="00D41CCC"/>
    <w:rsid w:val="00D573C6"/>
    <w:rsid w:val="00D66380"/>
    <w:rsid w:val="00D81A25"/>
    <w:rsid w:val="00D8670C"/>
    <w:rsid w:val="00D946BF"/>
    <w:rsid w:val="00DC2C93"/>
    <w:rsid w:val="00DC3151"/>
    <w:rsid w:val="00DD0B41"/>
    <w:rsid w:val="00DD6D5B"/>
    <w:rsid w:val="00DE57FD"/>
    <w:rsid w:val="00E2411A"/>
    <w:rsid w:val="00E26B81"/>
    <w:rsid w:val="00E35CF3"/>
    <w:rsid w:val="00E42E17"/>
    <w:rsid w:val="00E5218C"/>
    <w:rsid w:val="00E63EA3"/>
    <w:rsid w:val="00E70111"/>
    <w:rsid w:val="00E73C3E"/>
    <w:rsid w:val="00E97160"/>
    <w:rsid w:val="00EA2DF8"/>
    <w:rsid w:val="00EA35B9"/>
    <w:rsid w:val="00EA4C2F"/>
    <w:rsid w:val="00EB0888"/>
    <w:rsid w:val="00EB2003"/>
    <w:rsid w:val="00EC0CD7"/>
    <w:rsid w:val="00ED42BB"/>
    <w:rsid w:val="00EE09A1"/>
    <w:rsid w:val="00EE3B73"/>
    <w:rsid w:val="00EE5F24"/>
    <w:rsid w:val="00EF2A80"/>
    <w:rsid w:val="00EF391A"/>
    <w:rsid w:val="00F06651"/>
    <w:rsid w:val="00F10ACF"/>
    <w:rsid w:val="00F12EC1"/>
    <w:rsid w:val="00F34674"/>
    <w:rsid w:val="00F40419"/>
    <w:rsid w:val="00F5019A"/>
    <w:rsid w:val="00F52421"/>
    <w:rsid w:val="00F54689"/>
    <w:rsid w:val="00F60DF9"/>
    <w:rsid w:val="00F639FC"/>
    <w:rsid w:val="00F67CD5"/>
    <w:rsid w:val="00F706D8"/>
    <w:rsid w:val="00F7164F"/>
    <w:rsid w:val="00F73CFD"/>
    <w:rsid w:val="00F85007"/>
    <w:rsid w:val="00F86382"/>
    <w:rsid w:val="00F95770"/>
    <w:rsid w:val="00FA72B0"/>
    <w:rsid w:val="00FC215B"/>
    <w:rsid w:val="00FF2948"/>
    <w:rsid w:val="00FF49E3"/>
    <w:rsid w:val="0250BCD1"/>
    <w:rsid w:val="0519C73E"/>
    <w:rsid w:val="08704B5E"/>
    <w:rsid w:val="0B628DD0"/>
    <w:rsid w:val="0B7BBA4A"/>
    <w:rsid w:val="0CE8F317"/>
    <w:rsid w:val="0D6039C5"/>
    <w:rsid w:val="0E5DB3C8"/>
    <w:rsid w:val="10C9EA7F"/>
    <w:rsid w:val="11FDCEF8"/>
    <w:rsid w:val="13406B45"/>
    <w:rsid w:val="14A89C90"/>
    <w:rsid w:val="18AFC8EB"/>
    <w:rsid w:val="25C8B5F6"/>
    <w:rsid w:val="263609EA"/>
    <w:rsid w:val="27AFFE73"/>
    <w:rsid w:val="2854CA6B"/>
    <w:rsid w:val="2A1487C7"/>
    <w:rsid w:val="2A88A6EB"/>
    <w:rsid w:val="2BD664E2"/>
    <w:rsid w:val="2C4A982F"/>
    <w:rsid w:val="2F67CED2"/>
    <w:rsid w:val="30B24FCC"/>
    <w:rsid w:val="31ED8634"/>
    <w:rsid w:val="3CB22604"/>
    <w:rsid w:val="3F6A280F"/>
    <w:rsid w:val="4021A58F"/>
    <w:rsid w:val="4383A7C3"/>
    <w:rsid w:val="43DA2F1F"/>
    <w:rsid w:val="45D20D66"/>
    <w:rsid w:val="47BA48CD"/>
    <w:rsid w:val="4856F30B"/>
    <w:rsid w:val="4A3B6534"/>
    <w:rsid w:val="509672C8"/>
    <w:rsid w:val="509850BE"/>
    <w:rsid w:val="52C9AD38"/>
    <w:rsid w:val="52DE5E58"/>
    <w:rsid w:val="5DB56AEA"/>
    <w:rsid w:val="6A0ECC48"/>
    <w:rsid w:val="6B02352C"/>
    <w:rsid w:val="6C014365"/>
    <w:rsid w:val="6CE3AB82"/>
    <w:rsid w:val="71CF21A5"/>
    <w:rsid w:val="729AEB9B"/>
    <w:rsid w:val="7758DF3A"/>
    <w:rsid w:val="7B50D64E"/>
    <w:rsid w:val="7CB1B38D"/>
    <w:rsid w:val="7E78F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EEA4D"/>
  <w15:chartTrackingRefBased/>
  <w15:docId w15:val="{14AB5250-84E4-4043-965F-7B983CB0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F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E654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654B"/>
    <w:rPr>
      <w:rFonts w:ascii="Segoe UI" w:hAnsi="Segoe UI" w:cs="Segoe UI"/>
      <w:sz w:val="18"/>
      <w:szCs w:val="18"/>
    </w:rPr>
  </w:style>
  <w:style w:type="character" w:styleId="CommentReference">
    <w:name w:val="annotation reference"/>
    <w:basedOn w:val="DefaultParagraphFont"/>
    <w:uiPriority w:val="99"/>
    <w:semiHidden/>
    <w:unhideWhenUsed/>
    <w:rsid w:val="00F86382"/>
    <w:rPr>
      <w:sz w:val="16"/>
      <w:szCs w:val="16"/>
    </w:rPr>
  </w:style>
  <w:style w:type="paragraph" w:styleId="CommentText">
    <w:name w:val="annotation text"/>
    <w:basedOn w:val="Normal"/>
    <w:link w:val="CommentTextChar"/>
    <w:uiPriority w:val="99"/>
    <w:semiHidden/>
    <w:unhideWhenUsed/>
    <w:rsid w:val="00F8638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6382"/>
    <w:rPr>
      <w:sz w:val="20"/>
      <w:szCs w:val="20"/>
    </w:rPr>
  </w:style>
  <w:style w:type="paragraph" w:styleId="CommentSubject">
    <w:name w:val="annotation subject"/>
    <w:basedOn w:val="CommentText"/>
    <w:next w:val="CommentText"/>
    <w:link w:val="CommentSubjectChar"/>
    <w:uiPriority w:val="99"/>
    <w:semiHidden/>
    <w:unhideWhenUsed/>
    <w:rsid w:val="00F86382"/>
    <w:rPr>
      <w:b/>
      <w:bCs/>
    </w:rPr>
  </w:style>
  <w:style w:type="character" w:customStyle="1" w:styleId="CommentSubjectChar">
    <w:name w:val="Comment Subject Char"/>
    <w:basedOn w:val="CommentTextChar"/>
    <w:link w:val="CommentSubject"/>
    <w:uiPriority w:val="99"/>
    <w:semiHidden/>
    <w:rsid w:val="00F86382"/>
    <w:rPr>
      <w:b/>
      <w:bCs/>
      <w:sz w:val="20"/>
      <w:szCs w:val="20"/>
    </w:rPr>
  </w:style>
  <w:style w:type="character" w:customStyle="1" w:styleId="normaltextrun">
    <w:name w:val="normaltextrun"/>
    <w:basedOn w:val="DefaultParagraphFont"/>
    <w:rsid w:val="003A6CB6"/>
  </w:style>
  <w:style w:type="character" w:styleId="Hyperlink">
    <w:name w:val="Hyperlink"/>
    <w:basedOn w:val="DefaultParagraphFont"/>
    <w:uiPriority w:val="99"/>
    <w:semiHidden/>
    <w:unhideWhenUsed/>
    <w:rsid w:val="00A016B2"/>
    <w:rPr>
      <w:strike w:val="0"/>
      <w:dstrike w:val="0"/>
      <w:color w:val="0000FF"/>
      <w:u w:val="none"/>
      <w:effect w:val="none"/>
    </w:rPr>
  </w:style>
  <w:style w:type="paragraph" w:styleId="Revision">
    <w:name w:val="Revision"/>
    <w:hidden/>
    <w:uiPriority w:val="99"/>
    <w:semiHidden/>
    <w:rsid w:val="001144FE"/>
    <w:pPr>
      <w:spacing w:after="0" w:line="240" w:lineRule="auto"/>
    </w:pPr>
  </w:style>
  <w:style w:type="paragraph" w:styleId="Header">
    <w:name w:val="header"/>
    <w:basedOn w:val="Normal"/>
    <w:link w:val="HeaderChar"/>
    <w:uiPriority w:val="99"/>
    <w:unhideWhenUsed/>
    <w:rsid w:val="005F51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5138"/>
  </w:style>
  <w:style w:type="paragraph" w:styleId="Footer">
    <w:name w:val="footer"/>
    <w:basedOn w:val="Normal"/>
    <w:link w:val="FooterChar"/>
    <w:uiPriority w:val="99"/>
    <w:unhideWhenUsed/>
    <w:rsid w:val="005F51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5138"/>
  </w:style>
  <w:style w:type="paragraph" w:styleId="FootnoteText">
    <w:name w:val="footnote text"/>
    <w:basedOn w:val="Normal"/>
    <w:link w:val="FootnoteTextChar"/>
    <w:uiPriority w:val="99"/>
    <w:semiHidden/>
    <w:unhideWhenUsed/>
    <w:rsid w:val="00204111"/>
    <w:rPr>
      <w:sz w:val="20"/>
      <w:szCs w:val="20"/>
    </w:rPr>
  </w:style>
  <w:style w:type="character" w:customStyle="1" w:styleId="FootnoteTextChar">
    <w:name w:val="Footnote Text Char"/>
    <w:basedOn w:val="DefaultParagraphFont"/>
    <w:link w:val="FootnoteText"/>
    <w:uiPriority w:val="99"/>
    <w:semiHidden/>
    <w:rsid w:val="002041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4111"/>
    <w:rPr>
      <w:vertAlign w:val="superscript"/>
    </w:rPr>
  </w:style>
  <w:style w:type="table" w:styleId="TableGrid">
    <w:name w:val="Table Grid"/>
    <w:basedOn w:val="TableNormal"/>
    <w:uiPriority w:val="39"/>
    <w:rsid w:val="0058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3373">
      <w:bodyDiv w:val="1"/>
      <w:marLeft w:val="0"/>
      <w:marRight w:val="0"/>
      <w:marTop w:val="0"/>
      <w:marBottom w:val="0"/>
      <w:divBdr>
        <w:top w:val="none" w:sz="0" w:space="0" w:color="auto"/>
        <w:left w:val="none" w:sz="0" w:space="0" w:color="auto"/>
        <w:bottom w:val="none" w:sz="0" w:space="0" w:color="auto"/>
        <w:right w:val="none" w:sz="0" w:space="0" w:color="auto"/>
      </w:divBdr>
      <w:divsChild>
        <w:div w:id="1747453061">
          <w:marLeft w:val="0"/>
          <w:marRight w:val="0"/>
          <w:marTop w:val="0"/>
          <w:marBottom w:val="0"/>
          <w:divBdr>
            <w:top w:val="none" w:sz="0" w:space="0" w:color="auto"/>
            <w:left w:val="none" w:sz="0" w:space="0" w:color="auto"/>
            <w:bottom w:val="none" w:sz="0" w:space="0" w:color="auto"/>
            <w:right w:val="none" w:sz="0" w:space="0" w:color="auto"/>
          </w:divBdr>
        </w:div>
        <w:div w:id="1814834127">
          <w:marLeft w:val="0"/>
          <w:marRight w:val="0"/>
          <w:marTop w:val="0"/>
          <w:marBottom w:val="0"/>
          <w:divBdr>
            <w:top w:val="none" w:sz="0" w:space="0" w:color="auto"/>
            <w:left w:val="none" w:sz="0" w:space="0" w:color="auto"/>
            <w:bottom w:val="none" w:sz="0" w:space="0" w:color="auto"/>
            <w:right w:val="none" w:sz="0" w:space="0" w:color="auto"/>
          </w:divBdr>
        </w:div>
        <w:div w:id="954946844">
          <w:marLeft w:val="0"/>
          <w:marRight w:val="0"/>
          <w:marTop w:val="0"/>
          <w:marBottom w:val="0"/>
          <w:divBdr>
            <w:top w:val="none" w:sz="0" w:space="0" w:color="auto"/>
            <w:left w:val="none" w:sz="0" w:space="0" w:color="auto"/>
            <w:bottom w:val="none" w:sz="0" w:space="0" w:color="auto"/>
            <w:right w:val="none" w:sz="0" w:space="0" w:color="auto"/>
          </w:divBdr>
        </w:div>
        <w:div w:id="956136619">
          <w:marLeft w:val="0"/>
          <w:marRight w:val="0"/>
          <w:marTop w:val="0"/>
          <w:marBottom w:val="0"/>
          <w:divBdr>
            <w:top w:val="none" w:sz="0" w:space="0" w:color="auto"/>
            <w:left w:val="none" w:sz="0" w:space="0" w:color="auto"/>
            <w:bottom w:val="none" w:sz="0" w:space="0" w:color="auto"/>
            <w:right w:val="none" w:sz="0" w:space="0" w:color="auto"/>
          </w:divBdr>
        </w:div>
        <w:div w:id="1736662152">
          <w:marLeft w:val="0"/>
          <w:marRight w:val="0"/>
          <w:marTop w:val="0"/>
          <w:marBottom w:val="0"/>
          <w:divBdr>
            <w:top w:val="none" w:sz="0" w:space="0" w:color="auto"/>
            <w:left w:val="none" w:sz="0" w:space="0" w:color="auto"/>
            <w:bottom w:val="none" w:sz="0" w:space="0" w:color="auto"/>
            <w:right w:val="none" w:sz="0" w:space="0" w:color="auto"/>
          </w:divBdr>
        </w:div>
        <w:div w:id="1732075901">
          <w:marLeft w:val="0"/>
          <w:marRight w:val="0"/>
          <w:marTop w:val="0"/>
          <w:marBottom w:val="0"/>
          <w:divBdr>
            <w:top w:val="none" w:sz="0" w:space="0" w:color="auto"/>
            <w:left w:val="none" w:sz="0" w:space="0" w:color="auto"/>
            <w:bottom w:val="none" w:sz="0" w:space="0" w:color="auto"/>
            <w:right w:val="none" w:sz="0" w:space="0" w:color="auto"/>
          </w:divBdr>
        </w:div>
        <w:div w:id="333843986">
          <w:marLeft w:val="0"/>
          <w:marRight w:val="0"/>
          <w:marTop w:val="0"/>
          <w:marBottom w:val="0"/>
          <w:divBdr>
            <w:top w:val="none" w:sz="0" w:space="0" w:color="auto"/>
            <w:left w:val="none" w:sz="0" w:space="0" w:color="auto"/>
            <w:bottom w:val="none" w:sz="0" w:space="0" w:color="auto"/>
            <w:right w:val="none" w:sz="0" w:space="0" w:color="auto"/>
          </w:divBdr>
        </w:div>
        <w:div w:id="1352684602">
          <w:marLeft w:val="0"/>
          <w:marRight w:val="0"/>
          <w:marTop w:val="0"/>
          <w:marBottom w:val="0"/>
          <w:divBdr>
            <w:top w:val="none" w:sz="0" w:space="0" w:color="auto"/>
            <w:left w:val="none" w:sz="0" w:space="0" w:color="auto"/>
            <w:bottom w:val="none" w:sz="0" w:space="0" w:color="auto"/>
            <w:right w:val="none" w:sz="0" w:space="0" w:color="auto"/>
          </w:divBdr>
        </w:div>
        <w:div w:id="1394542712">
          <w:marLeft w:val="0"/>
          <w:marRight w:val="0"/>
          <w:marTop w:val="0"/>
          <w:marBottom w:val="0"/>
          <w:divBdr>
            <w:top w:val="none" w:sz="0" w:space="0" w:color="auto"/>
            <w:left w:val="none" w:sz="0" w:space="0" w:color="auto"/>
            <w:bottom w:val="none" w:sz="0" w:space="0" w:color="auto"/>
            <w:right w:val="none" w:sz="0" w:space="0" w:color="auto"/>
          </w:divBdr>
        </w:div>
        <w:div w:id="1598101052">
          <w:marLeft w:val="0"/>
          <w:marRight w:val="0"/>
          <w:marTop w:val="0"/>
          <w:marBottom w:val="0"/>
          <w:divBdr>
            <w:top w:val="none" w:sz="0" w:space="0" w:color="auto"/>
            <w:left w:val="none" w:sz="0" w:space="0" w:color="auto"/>
            <w:bottom w:val="none" w:sz="0" w:space="0" w:color="auto"/>
            <w:right w:val="none" w:sz="0" w:space="0" w:color="auto"/>
          </w:divBdr>
        </w:div>
        <w:div w:id="30111348">
          <w:marLeft w:val="0"/>
          <w:marRight w:val="0"/>
          <w:marTop w:val="0"/>
          <w:marBottom w:val="0"/>
          <w:divBdr>
            <w:top w:val="none" w:sz="0" w:space="0" w:color="auto"/>
            <w:left w:val="none" w:sz="0" w:space="0" w:color="auto"/>
            <w:bottom w:val="none" w:sz="0" w:space="0" w:color="auto"/>
            <w:right w:val="none" w:sz="0" w:space="0" w:color="auto"/>
          </w:divBdr>
        </w:div>
        <w:div w:id="1538396093">
          <w:marLeft w:val="0"/>
          <w:marRight w:val="0"/>
          <w:marTop w:val="0"/>
          <w:marBottom w:val="0"/>
          <w:divBdr>
            <w:top w:val="none" w:sz="0" w:space="0" w:color="auto"/>
            <w:left w:val="none" w:sz="0" w:space="0" w:color="auto"/>
            <w:bottom w:val="none" w:sz="0" w:space="0" w:color="auto"/>
            <w:right w:val="none" w:sz="0" w:space="0" w:color="auto"/>
          </w:divBdr>
        </w:div>
        <w:div w:id="1210071649">
          <w:marLeft w:val="0"/>
          <w:marRight w:val="0"/>
          <w:marTop w:val="0"/>
          <w:marBottom w:val="0"/>
          <w:divBdr>
            <w:top w:val="none" w:sz="0" w:space="0" w:color="auto"/>
            <w:left w:val="none" w:sz="0" w:space="0" w:color="auto"/>
            <w:bottom w:val="none" w:sz="0" w:space="0" w:color="auto"/>
            <w:right w:val="none" w:sz="0" w:space="0" w:color="auto"/>
          </w:divBdr>
        </w:div>
        <w:div w:id="1030571028">
          <w:marLeft w:val="0"/>
          <w:marRight w:val="0"/>
          <w:marTop w:val="0"/>
          <w:marBottom w:val="0"/>
          <w:divBdr>
            <w:top w:val="none" w:sz="0" w:space="0" w:color="auto"/>
            <w:left w:val="none" w:sz="0" w:space="0" w:color="auto"/>
            <w:bottom w:val="none" w:sz="0" w:space="0" w:color="auto"/>
            <w:right w:val="none" w:sz="0" w:space="0" w:color="auto"/>
          </w:divBdr>
        </w:div>
        <w:div w:id="1433209961">
          <w:marLeft w:val="0"/>
          <w:marRight w:val="0"/>
          <w:marTop w:val="0"/>
          <w:marBottom w:val="0"/>
          <w:divBdr>
            <w:top w:val="none" w:sz="0" w:space="0" w:color="auto"/>
            <w:left w:val="none" w:sz="0" w:space="0" w:color="auto"/>
            <w:bottom w:val="none" w:sz="0" w:space="0" w:color="auto"/>
            <w:right w:val="none" w:sz="0" w:space="0" w:color="auto"/>
          </w:divBdr>
        </w:div>
        <w:div w:id="397286054">
          <w:marLeft w:val="0"/>
          <w:marRight w:val="0"/>
          <w:marTop w:val="0"/>
          <w:marBottom w:val="0"/>
          <w:divBdr>
            <w:top w:val="none" w:sz="0" w:space="0" w:color="auto"/>
            <w:left w:val="none" w:sz="0" w:space="0" w:color="auto"/>
            <w:bottom w:val="none" w:sz="0" w:space="0" w:color="auto"/>
            <w:right w:val="none" w:sz="0" w:space="0" w:color="auto"/>
          </w:divBdr>
        </w:div>
        <w:div w:id="1909653631">
          <w:marLeft w:val="0"/>
          <w:marRight w:val="0"/>
          <w:marTop w:val="0"/>
          <w:marBottom w:val="0"/>
          <w:divBdr>
            <w:top w:val="none" w:sz="0" w:space="0" w:color="auto"/>
            <w:left w:val="none" w:sz="0" w:space="0" w:color="auto"/>
            <w:bottom w:val="none" w:sz="0" w:space="0" w:color="auto"/>
            <w:right w:val="none" w:sz="0" w:space="0" w:color="auto"/>
          </w:divBdr>
        </w:div>
        <w:div w:id="332339374">
          <w:marLeft w:val="0"/>
          <w:marRight w:val="0"/>
          <w:marTop w:val="0"/>
          <w:marBottom w:val="0"/>
          <w:divBdr>
            <w:top w:val="none" w:sz="0" w:space="0" w:color="auto"/>
            <w:left w:val="none" w:sz="0" w:space="0" w:color="auto"/>
            <w:bottom w:val="none" w:sz="0" w:space="0" w:color="auto"/>
            <w:right w:val="none" w:sz="0" w:space="0" w:color="auto"/>
          </w:divBdr>
        </w:div>
        <w:div w:id="1601253756">
          <w:marLeft w:val="0"/>
          <w:marRight w:val="0"/>
          <w:marTop w:val="0"/>
          <w:marBottom w:val="0"/>
          <w:divBdr>
            <w:top w:val="none" w:sz="0" w:space="0" w:color="auto"/>
            <w:left w:val="none" w:sz="0" w:space="0" w:color="auto"/>
            <w:bottom w:val="none" w:sz="0" w:space="0" w:color="auto"/>
            <w:right w:val="none" w:sz="0" w:space="0" w:color="auto"/>
          </w:divBdr>
        </w:div>
      </w:divsChild>
    </w:div>
    <w:div w:id="915095692">
      <w:bodyDiv w:val="1"/>
      <w:marLeft w:val="0"/>
      <w:marRight w:val="0"/>
      <w:marTop w:val="0"/>
      <w:marBottom w:val="0"/>
      <w:divBdr>
        <w:top w:val="none" w:sz="0" w:space="0" w:color="auto"/>
        <w:left w:val="none" w:sz="0" w:space="0" w:color="auto"/>
        <w:bottom w:val="none" w:sz="0" w:space="0" w:color="auto"/>
        <w:right w:val="none" w:sz="0" w:space="0" w:color="auto"/>
      </w:divBdr>
      <w:divsChild>
        <w:div w:id="903373246">
          <w:marLeft w:val="0"/>
          <w:marRight w:val="0"/>
          <w:marTop w:val="0"/>
          <w:marBottom w:val="0"/>
          <w:divBdr>
            <w:top w:val="none" w:sz="0" w:space="0" w:color="auto"/>
            <w:left w:val="none" w:sz="0" w:space="0" w:color="auto"/>
            <w:bottom w:val="none" w:sz="0" w:space="0" w:color="auto"/>
            <w:right w:val="none" w:sz="0" w:space="0" w:color="auto"/>
          </w:divBdr>
        </w:div>
        <w:div w:id="1244954541">
          <w:marLeft w:val="0"/>
          <w:marRight w:val="0"/>
          <w:marTop w:val="0"/>
          <w:marBottom w:val="0"/>
          <w:divBdr>
            <w:top w:val="none" w:sz="0" w:space="0" w:color="auto"/>
            <w:left w:val="none" w:sz="0" w:space="0" w:color="auto"/>
            <w:bottom w:val="none" w:sz="0" w:space="0" w:color="auto"/>
            <w:right w:val="none" w:sz="0" w:space="0" w:color="auto"/>
          </w:divBdr>
        </w:div>
        <w:div w:id="723605064">
          <w:marLeft w:val="0"/>
          <w:marRight w:val="0"/>
          <w:marTop w:val="0"/>
          <w:marBottom w:val="0"/>
          <w:divBdr>
            <w:top w:val="none" w:sz="0" w:space="0" w:color="auto"/>
            <w:left w:val="none" w:sz="0" w:space="0" w:color="auto"/>
            <w:bottom w:val="none" w:sz="0" w:space="0" w:color="auto"/>
            <w:right w:val="none" w:sz="0" w:space="0" w:color="auto"/>
          </w:divBdr>
        </w:div>
      </w:divsChild>
    </w:div>
    <w:div w:id="1293828574">
      <w:bodyDiv w:val="1"/>
      <w:marLeft w:val="0"/>
      <w:marRight w:val="0"/>
      <w:marTop w:val="0"/>
      <w:marBottom w:val="0"/>
      <w:divBdr>
        <w:top w:val="none" w:sz="0" w:space="0" w:color="auto"/>
        <w:left w:val="none" w:sz="0" w:space="0" w:color="auto"/>
        <w:bottom w:val="none" w:sz="0" w:space="0" w:color="auto"/>
        <w:right w:val="none" w:sz="0" w:space="0" w:color="auto"/>
      </w:divBdr>
      <w:divsChild>
        <w:div w:id="198977734">
          <w:marLeft w:val="0"/>
          <w:marRight w:val="0"/>
          <w:marTop w:val="0"/>
          <w:marBottom w:val="0"/>
          <w:divBdr>
            <w:top w:val="none" w:sz="0" w:space="0" w:color="auto"/>
            <w:left w:val="none" w:sz="0" w:space="0" w:color="auto"/>
            <w:bottom w:val="none" w:sz="0" w:space="0" w:color="auto"/>
            <w:right w:val="none" w:sz="0" w:space="0" w:color="auto"/>
          </w:divBdr>
        </w:div>
        <w:div w:id="1279875925">
          <w:marLeft w:val="0"/>
          <w:marRight w:val="0"/>
          <w:marTop w:val="0"/>
          <w:marBottom w:val="0"/>
          <w:divBdr>
            <w:top w:val="none" w:sz="0" w:space="0" w:color="auto"/>
            <w:left w:val="none" w:sz="0" w:space="0" w:color="auto"/>
            <w:bottom w:val="none" w:sz="0" w:space="0" w:color="auto"/>
            <w:right w:val="none" w:sz="0" w:space="0" w:color="auto"/>
          </w:divBdr>
        </w:div>
        <w:div w:id="1788502588">
          <w:marLeft w:val="0"/>
          <w:marRight w:val="0"/>
          <w:marTop w:val="0"/>
          <w:marBottom w:val="0"/>
          <w:divBdr>
            <w:top w:val="none" w:sz="0" w:space="0" w:color="auto"/>
            <w:left w:val="none" w:sz="0" w:space="0" w:color="auto"/>
            <w:bottom w:val="none" w:sz="0" w:space="0" w:color="auto"/>
            <w:right w:val="none" w:sz="0" w:space="0" w:color="auto"/>
          </w:divBdr>
        </w:div>
        <w:div w:id="1230771891">
          <w:marLeft w:val="0"/>
          <w:marRight w:val="0"/>
          <w:marTop w:val="0"/>
          <w:marBottom w:val="0"/>
          <w:divBdr>
            <w:top w:val="none" w:sz="0" w:space="0" w:color="auto"/>
            <w:left w:val="none" w:sz="0" w:space="0" w:color="auto"/>
            <w:bottom w:val="none" w:sz="0" w:space="0" w:color="auto"/>
            <w:right w:val="none" w:sz="0" w:space="0" w:color="auto"/>
          </w:divBdr>
        </w:div>
        <w:div w:id="1840270399">
          <w:marLeft w:val="0"/>
          <w:marRight w:val="0"/>
          <w:marTop w:val="0"/>
          <w:marBottom w:val="0"/>
          <w:divBdr>
            <w:top w:val="none" w:sz="0" w:space="0" w:color="auto"/>
            <w:left w:val="none" w:sz="0" w:space="0" w:color="auto"/>
            <w:bottom w:val="none" w:sz="0" w:space="0" w:color="auto"/>
            <w:right w:val="none" w:sz="0" w:space="0" w:color="auto"/>
          </w:divBdr>
        </w:div>
        <w:div w:id="732239608">
          <w:marLeft w:val="0"/>
          <w:marRight w:val="0"/>
          <w:marTop w:val="0"/>
          <w:marBottom w:val="0"/>
          <w:divBdr>
            <w:top w:val="none" w:sz="0" w:space="0" w:color="auto"/>
            <w:left w:val="none" w:sz="0" w:space="0" w:color="auto"/>
            <w:bottom w:val="none" w:sz="0" w:space="0" w:color="auto"/>
            <w:right w:val="none" w:sz="0" w:space="0" w:color="auto"/>
          </w:divBdr>
        </w:div>
        <w:div w:id="1010447461">
          <w:marLeft w:val="0"/>
          <w:marRight w:val="0"/>
          <w:marTop w:val="0"/>
          <w:marBottom w:val="0"/>
          <w:divBdr>
            <w:top w:val="none" w:sz="0" w:space="0" w:color="auto"/>
            <w:left w:val="none" w:sz="0" w:space="0" w:color="auto"/>
            <w:bottom w:val="none" w:sz="0" w:space="0" w:color="auto"/>
            <w:right w:val="none" w:sz="0" w:space="0" w:color="auto"/>
          </w:divBdr>
        </w:div>
        <w:div w:id="294873787">
          <w:marLeft w:val="0"/>
          <w:marRight w:val="0"/>
          <w:marTop w:val="0"/>
          <w:marBottom w:val="0"/>
          <w:divBdr>
            <w:top w:val="none" w:sz="0" w:space="0" w:color="auto"/>
            <w:left w:val="none" w:sz="0" w:space="0" w:color="auto"/>
            <w:bottom w:val="none" w:sz="0" w:space="0" w:color="auto"/>
            <w:right w:val="none" w:sz="0" w:space="0" w:color="auto"/>
          </w:divBdr>
        </w:div>
        <w:div w:id="928121905">
          <w:marLeft w:val="0"/>
          <w:marRight w:val="0"/>
          <w:marTop w:val="0"/>
          <w:marBottom w:val="0"/>
          <w:divBdr>
            <w:top w:val="none" w:sz="0" w:space="0" w:color="auto"/>
            <w:left w:val="none" w:sz="0" w:space="0" w:color="auto"/>
            <w:bottom w:val="none" w:sz="0" w:space="0" w:color="auto"/>
            <w:right w:val="none" w:sz="0" w:space="0" w:color="auto"/>
          </w:divBdr>
        </w:div>
        <w:div w:id="1368871529">
          <w:marLeft w:val="0"/>
          <w:marRight w:val="0"/>
          <w:marTop w:val="0"/>
          <w:marBottom w:val="0"/>
          <w:divBdr>
            <w:top w:val="none" w:sz="0" w:space="0" w:color="auto"/>
            <w:left w:val="none" w:sz="0" w:space="0" w:color="auto"/>
            <w:bottom w:val="none" w:sz="0" w:space="0" w:color="auto"/>
            <w:right w:val="none" w:sz="0" w:space="0" w:color="auto"/>
          </w:divBdr>
        </w:div>
        <w:div w:id="613563304">
          <w:marLeft w:val="0"/>
          <w:marRight w:val="0"/>
          <w:marTop w:val="0"/>
          <w:marBottom w:val="0"/>
          <w:divBdr>
            <w:top w:val="none" w:sz="0" w:space="0" w:color="auto"/>
            <w:left w:val="none" w:sz="0" w:space="0" w:color="auto"/>
            <w:bottom w:val="none" w:sz="0" w:space="0" w:color="auto"/>
            <w:right w:val="none" w:sz="0" w:space="0" w:color="auto"/>
          </w:divBdr>
        </w:div>
        <w:div w:id="855118223">
          <w:marLeft w:val="0"/>
          <w:marRight w:val="0"/>
          <w:marTop w:val="0"/>
          <w:marBottom w:val="0"/>
          <w:divBdr>
            <w:top w:val="none" w:sz="0" w:space="0" w:color="auto"/>
            <w:left w:val="none" w:sz="0" w:space="0" w:color="auto"/>
            <w:bottom w:val="none" w:sz="0" w:space="0" w:color="auto"/>
            <w:right w:val="none" w:sz="0" w:space="0" w:color="auto"/>
          </w:divBdr>
        </w:div>
        <w:div w:id="769277774">
          <w:marLeft w:val="0"/>
          <w:marRight w:val="0"/>
          <w:marTop w:val="0"/>
          <w:marBottom w:val="0"/>
          <w:divBdr>
            <w:top w:val="none" w:sz="0" w:space="0" w:color="auto"/>
            <w:left w:val="none" w:sz="0" w:space="0" w:color="auto"/>
            <w:bottom w:val="none" w:sz="0" w:space="0" w:color="auto"/>
            <w:right w:val="none" w:sz="0" w:space="0" w:color="auto"/>
          </w:divBdr>
        </w:div>
        <w:div w:id="518738662">
          <w:marLeft w:val="0"/>
          <w:marRight w:val="0"/>
          <w:marTop w:val="0"/>
          <w:marBottom w:val="0"/>
          <w:divBdr>
            <w:top w:val="none" w:sz="0" w:space="0" w:color="auto"/>
            <w:left w:val="none" w:sz="0" w:space="0" w:color="auto"/>
            <w:bottom w:val="none" w:sz="0" w:space="0" w:color="auto"/>
            <w:right w:val="none" w:sz="0" w:space="0" w:color="auto"/>
          </w:divBdr>
        </w:div>
        <w:div w:id="1626422996">
          <w:marLeft w:val="0"/>
          <w:marRight w:val="0"/>
          <w:marTop w:val="0"/>
          <w:marBottom w:val="0"/>
          <w:divBdr>
            <w:top w:val="none" w:sz="0" w:space="0" w:color="auto"/>
            <w:left w:val="none" w:sz="0" w:space="0" w:color="auto"/>
            <w:bottom w:val="none" w:sz="0" w:space="0" w:color="auto"/>
            <w:right w:val="none" w:sz="0" w:space="0" w:color="auto"/>
          </w:divBdr>
        </w:div>
        <w:div w:id="1415200764">
          <w:marLeft w:val="0"/>
          <w:marRight w:val="0"/>
          <w:marTop w:val="0"/>
          <w:marBottom w:val="0"/>
          <w:divBdr>
            <w:top w:val="none" w:sz="0" w:space="0" w:color="auto"/>
            <w:left w:val="none" w:sz="0" w:space="0" w:color="auto"/>
            <w:bottom w:val="none" w:sz="0" w:space="0" w:color="auto"/>
            <w:right w:val="none" w:sz="0" w:space="0" w:color="auto"/>
          </w:divBdr>
        </w:div>
        <w:div w:id="856774597">
          <w:marLeft w:val="0"/>
          <w:marRight w:val="0"/>
          <w:marTop w:val="0"/>
          <w:marBottom w:val="0"/>
          <w:divBdr>
            <w:top w:val="none" w:sz="0" w:space="0" w:color="auto"/>
            <w:left w:val="none" w:sz="0" w:space="0" w:color="auto"/>
            <w:bottom w:val="none" w:sz="0" w:space="0" w:color="auto"/>
            <w:right w:val="none" w:sz="0" w:space="0" w:color="auto"/>
          </w:divBdr>
        </w:div>
        <w:div w:id="1287396653">
          <w:marLeft w:val="0"/>
          <w:marRight w:val="0"/>
          <w:marTop w:val="0"/>
          <w:marBottom w:val="0"/>
          <w:divBdr>
            <w:top w:val="none" w:sz="0" w:space="0" w:color="auto"/>
            <w:left w:val="none" w:sz="0" w:space="0" w:color="auto"/>
            <w:bottom w:val="none" w:sz="0" w:space="0" w:color="auto"/>
            <w:right w:val="none" w:sz="0" w:space="0" w:color="auto"/>
          </w:divBdr>
        </w:div>
        <w:div w:id="1296643726">
          <w:marLeft w:val="0"/>
          <w:marRight w:val="0"/>
          <w:marTop w:val="0"/>
          <w:marBottom w:val="0"/>
          <w:divBdr>
            <w:top w:val="none" w:sz="0" w:space="0" w:color="auto"/>
            <w:left w:val="none" w:sz="0" w:space="0" w:color="auto"/>
            <w:bottom w:val="none" w:sz="0" w:space="0" w:color="auto"/>
            <w:right w:val="none" w:sz="0" w:space="0" w:color="auto"/>
          </w:divBdr>
        </w:div>
        <w:div w:id="2073649899">
          <w:marLeft w:val="0"/>
          <w:marRight w:val="0"/>
          <w:marTop w:val="0"/>
          <w:marBottom w:val="0"/>
          <w:divBdr>
            <w:top w:val="none" w:sz="0" w:space="0" w:color="auto"/>
            <w:left w:val="none" w:sz="0" w:space="0" w:color="auto"/>
            <w:bottom w:val="none" w:sz="0" w:space="0" w:color="auto"/>
            <w:right w:val="none" w:sz="0" w:space="0" w:color="auto"/>
          </w:divBdr>
        </w:div>
        <w:div w:id="2108118488">
          <w:marLeft w:val="0"/>
          <w:marRight w:val="0"/>
          <w:marTop w:val="0"/>
          <w:marBottom w:val="0"/>
          <w:divBdr>
            <w:top w:val="none" w:sz="0" w:space="0" w:color="auto"/>
            <w:left w:val="none" w:sz="0" w:space="0" w:color="auto"/>
            <w:bottom w:val="none" w:sz="0" w:space="0" w:color="auto"/>
            <w:right w:val="none" w:sz="0" w:space="0" w:color="auto"/>
          </w:divBdr>
        </w:div>
        <w:div w:id="1433432037">
          <w:marLeft w:val="0"/>
          <w:marRight w:val="0"/>
          <w:marTop w:val="0"/>
          <w:marBottom w:val="0"/>
          <w:divBdr>
            <w:top w:val="none" w:sz="0" w:space="0" w:color="auto"/>
            <w:left w:val="none" w:sz="0" w:space="0" w:color="auto"/>
            <w:bottom w:val="none" w:sz="0" w:space="0" w:color="auto"/>
            <w:right w:val="none" w:sz="0" w:space="0" w:color="auto"/>
          </w:divBdr>
        </w:div>
        <w:div w:id="1505776264">
          <w:marLeft w:val="0"/>
          <w:marRight w:val="0"/>
          <w:marTop w:val="0"/>
          <w:marBottom w:val="0"/>
          <w:divBdr>
            <w:top w:val="none" w:sz="0" w:space="0" w:color="auto"/>
            <w:left w:val="none" w:sz="0" w:space="0" w:color="auto"/>
            <w:bottom w:val="none" w:sz="0" w:space="0" w:color="auto"/>
            <w:right w:val="none" w:sz="0" w:space="0" w:color="auto"/>
          </w:divBdr>
        </w:div>
        <w:div w:id="1160385315">
          <w:marLeft w:val="0"/>
          <w:marRight w:val="0"/>
          <w:marTop w:val="0"/>
          <w:marBottom w:val="0"/>
          <w:divBdr>
            <w:top w:val="none" w:sz="0" w:space="0" w:color="auto"/>
            <w:left w:val="none" w:sz="0" w:space="0" w:color="auto"/>
            <w:bottom w:val="none" w:sz="0" w:space="0" w:color="auto"/>
            <w:right w:val="none" w:sz="0" w:space="0" w:color="auto"/>
          </w:divBdr>
        </w:div>
        <w:div w:id="1112478754">
          <w:marLeft w:val="0"/>
          <w:marRight w:val="0"/>
          <w:marTop w:val="0"/>
          <w:marBottom w:val="0"/>
          <w:divBdr>
            <w:top w:val="none" w:sz="0" w:space="0" w:color="auto"/>
            <w:left w:val="none" w:sz="0" w:space="0" w:color="auto"/>
            <w:bottom w:val="none" w:sz="0" w:space="0" w:color="auto"/>
            <w:right w:val="none" w:sz="0" w:space="0" w:color="auto"/>
          </w:divBdr>
        </w:div>
        <w:div w:id="2101558965">
          <w:marLeft w:val="0"/>
          <w:marRight w:val="0"/>
          <w:marTop w:val="0"/>
          <w:marBottom w:val="0"/>
          <w:divBdr>
            <w:top w:val="none" w:sz="0" w:space="0" w:color="auto"/>
            <w:left w:val="none" w:sz="0" w:space="0" w:color="auto"/>
            <w:bottom w:val="none" w:sz="0" w:space="0" w:color="auto"/>
            <w:right w:val="none" w:sz="0" w:space="0" w:color="auto"/>
          </w:divBdr>
        </w:div>
      </w:divsChild>
    </w:div>
    <w:div w:id="1640528920">
      <w:bodyDiv w:val="1"/>
      <w:marLeft w:val="0"/>
      <w:marRight w:val="0"/>
      <w:marTop w:val="0"/>
      <w:marBottom w:val="0"/>
      <w:divBdr>
        <w:top w:val="none" w:sz="0" w:space="0" w:color="auto"/>
        <w:left w:val="none" w:sz="0" w:space="0" w:color="auto"/>
        <w:bottom w:val="none" w:sz="0" w:space="0" w:color="auto"/>
        <w:right w:val="none" w:sz="0" w:space="0" w:color="auto"/>
      </w:divBdr>
      <w:divsChild>
        <w:div w:id="1587225351">
          <w:marLeft w:val="0"/>
          <w:marRight w:val="0"/>
          <w:marTop w:val="0"/>
          <w:marBottom w:val="0"/>
          <w:divBdr>
            <w:top w:val="none" w:sz="0" w:space="0" w:color="auto"/>
            <w:left w:val="none" w:sz="0" w:space="0" w:color="auto"/>
            <w:bottom w:val="none" w:sz="0" w:space="0" w:color="auto"/>
            <w:right w:val="none" w:sz="0" w:space="0" w:color="auto"/>
          </w:divBdr>
        </w:div>
        <w:div w:id="1206865870">
          <w:marLeft w:val="0"/>
          <w:marRight w:val="0"/>
          <w:marTop w:val="0"/>
          <w:marBottom w:val="0"/>
          <w:divBdr>
            <w:top w:val="none" w:sz="0" w:space="0" w:color="auto"/>
            <w:left w:val="none" w:sz="0" w:space="0" w:color="auto"/>
            <w:bottom w:val="none" w:sz="0" w:space="0" w:color="auto"/>
            <w:right w:val="none" w:sz="0" w:space="0" w:color="auto"/>
          </w:divBdr>
        </w:div>
        <w:div w:id="827097066">
          <w:marLeft w:val="0"/>
          <w:marRight w:val="0"/>
          <w:marTop w:val="0"/>
          <w:marBottom w:val="0"/>
          <w:divBdr>
            <w:top w:val="none" w:sz="0" w:space="0" w:color="auto"/>
            <w:left w:val="none" w:sz="0" w:space="0" w:color="auto"/>
            <w:bottom w:val="none" w:sz="0" w:space="0" w:color="auto"/>
            <w:right w:val="none" w:sz="0" w:space="0" w:color="auto"/>
          </w:divBdr>
        </w:div>
      </w:divsChild>
    </w:div>
    <w:div w:id="1902132219">
      <w:bodyDiv w:val="1"/>
      <w:marLeft w:val="0"/>
      <w:marRight w:val="0"/>
      <w:marTop w:val="0"/>
      <w:marBottom w:val="0"/>
      <w:divBdr>
        <w:top w:val="none" w:sz="0" w:space="0" w:color="auto"/>
        <w:left w:val="none" w:sz="0" w:space="0" w:color="auto"/>
        <w:bottom w:val="none" w:sz="0" w:space="0" w:color="auto"/>
        <w:right w:val="none" w:sz="0" w:space="0" w:color="auto"/>
      </w:divBdr>
      <w:divsChild>
        <w:div w:id="1938251729">
          <w:marLeft w:val="0"/>
          <w:marRight w:val="0"/>
          <w:marTop w:val="0"/>
          <w:marBottom w:val="0"/>
          <w:divBdr>
            <w:top w:val="none" w:sz="0" w:space="0" w:color="auto"/>
            <w:left w:val="none" w:sz="0" w:space="0" w:color="auto"/>
            <w:bottom w:val="none" w:sz="0" w:space="0" w:color="auto"/>
            <w:right w:val="none" w:sz="0" w:space="0" w:color="auto"/>
          </w:divBdr>
        </w:div>
        <w:div w:id="2106919191">
          <w:marLeft w:val="0"/>
          <w:marRight w:val="0"/>
          <w:marTop w:val="0"/>
          <w:marBottom w:val="0"/>
          <w:divBdr>
            <w:top w:val="none" w:sz="0" w:space="0" w:color="auto"/>
            <w:left w:val="none" w:sz="0" w:space="0" w:color="auto"/>
            <w:bottom w:val="none" w:sz="0" w:space="0" w:color="auto"/>
            <w:right w:val="none" w:sz="0" w:space="0" w:color="auto"/>
          </w:divBdr>
        </w:div>
        <w:div w:id="913200147">
          <w:marLeft w:val="0"/>
          <w:marRight w:val="0"/>
          <w:marTop w:val="0"/>
          <w:marBottom w:val="0"/>
          <w:divBdr>
            <w:top w:val="none" w:sz="0" w:space="0" w:color="auto"/>
            <w:left w:val="none" w:sz="0" w:space="0" w:color="auto"/>
            <w:bottom w:val="none" w:sz="0" w:space="0" w:color="auto"/>
            <w:right w:val="none" w:sz="0" w:space="0" w:color="auto"/>
          </w:divBdr>
        </w:div>
        <w:div w:id="1879704428">
          <w:marLeft w:val="0"/>
          <w:marRight w:val="0"/>
          <w:marTop w:val="0"/>
          <w:marBottom w:val="0"/>
          <w:divBdr>
            <w:top w:val="none" w:sz="0" w:space="0" w:color="auto"/>
            <w:left w:val="none" w:sz="0" w:space="0" w:color="auto"/>
            <w:bottom w:val="none" w:sz="0" w:space="0" w:color="auto"/>
            <w:right w:val="none" w:sz="0" w:space="0" w:color="auto"/>
          </w:divBdr>
        </w:div>
        <w:div w:id="1424035571">
          <w:marLeft w:val="0"/>
          <w:marRight w:val="0"/>
          <w:marTop w:val="0"/>
          <w:marBottom w:val="0"/>
          <w:divBdr>
            <w:top w:val="none" w:sz="0" w:space="0" w:color="auto"/>
            <w:left w:val="none" w:sz="0" w:space="0" w:color="auto"/>
            <w:bottom w:val="none" w:sz="0" w:space="0" w:color="auto"/>
            <w:right w:val="none" w:sz="0" w:space="0" w:color="auto"/>
          </w:divBdr>
        </w:div>
        <w:div w:id="38476571">
          <w:marLeft w:val="0"/>
          <w:marRight w:val="0"/>
          <w:marTop w:val="0"/>
          <w:marBottom w:val="0"/>
          <w:divBdr>
            <w:top w:val="none" w:sz="0" w:space="0" w:color="auto"/>
            <w:left w:val="none" w:sz="0" w:space="0" w:color="auto"/>
            <w:bottom w:val="none" w:sz="0" w:space="0" w:color="auto"/>
            <w:right w:val="none" w:sz="0" w:space="0" w:color="auto"/>
          </w:divBdr>
        </w:div>
        <w:div w:id="1572233721">
          <w:marLeft w:val="0"/>
          <w:marRight w:val="0"/>
          <w:marTop w:val="0"/>
          <w:marBottom w:val="0"/>
          <w:divBdr>
            <w:top w:val="none" w:sz="0" w:space="0" w:color="auto"/>
            <w:left w:val="none" w:sz="0" w:space="0" w:color="auto"/>
            <w:bottom w:val="none" w:sz="0" w:space="0" w:color="auto"/>
            <w:right w:val="none" w:sz="0" w:space="0" w:color="auto"/>
          </w:divBdr>
        </w:div>
        <w:div w:id="869490381">
          <w:marLeft w:val="0"/>
          <w:marRight w:val="0"/>
          <w:marTop w:val="0"/>
          <w:marBottom w:val="0"/>
          <w:divBdr>
            <w:top w:val="none" w:sz="0" w:space="0" w:color="auto"/>
            <w:left w:val="none" w:sz="0" w:space="0" w:color="auto"/>
            <w:bottom w:val="none" w:sz="0" w:space="0" w:color="auto"/>
            <w:right w:val="none" w:sz="0" w:space="0" w:color="auto"/>
          </w:divBdr>
        </w:div>
        <w:div w:id="1990740593">
          <w:marLeft w:val="0"/>
          <w:marRight w:val="0"/>
          <w:marTop w:val="0"/>
          <w:marBottom w:val="0"/>
          <w:divBdr>
            <w:top w:val="none" w:sz="0" w:space="0" w:color="auto"/>
            <w:left w:val="none" w:sz="0" w:space="0" w:color="auto"/>
            <w:bottom w:val="none" w:sz="0" w:space="0" w:color="auto"/>
            <w:right w:val="none" w:sz="0" w:space="0" w:color="auto"/>
          </w:divBdr>
        </w:div>
        <w:div w:id="2124113607">
          <w:marLeft w:val="0"/>
          <w:marRight w:val="0"/>
          <w:marTop w:val="0"/>
          <w:marBottom w:val="0"/>
          <w:divBdr>
            <w:top w:val="none" w:sz="0" w:space="0" w:color="auto"/>
            <w:left w:val="none" w:sz="0" w:space="0" w:color="auto"/>
            <w:bottom w:val="none" w:sz="0" w:space="0" w:color="auto"/>
            <w:right w:val="none" w:sz="0" w:space="0" w:color="auto"/>
          </w:divBdr>
        </w:div>
        <w:div w:id="198519307">
          <w:marLeft w:val="0"/>
          <w:marRight w:val="0"/>
          <w:marTop w:val="0"/>
          <w:marBottom w:val="0"/>
          <w:divBdr>
            <w:top w:val="none" w:sz="0" w:space="0" w:color="auto"/>
            <w:left w:val="none" w:sz="0" w:space="0" w:color="auto"/>
            <w:bottom w:val="none" w:sz="0" w:space="0" w:color="auto"/>
            <w:right w:val="none" w:sz="0" w:space="0" w:color="auto"/>
          </w:divBdr>
        </w:div>
      </w:divsChild>
    </w:div>
    <w:div w:id="1921862616">
      <w:bodyDiv w:val="1"/>
      <w:marLeft w:val="0"/>
      <w:marRight w:val="0"/>
      <w:marTop w:val="0"/>
      <w:marBottom w:val="0"/>
      <w:divBdr>
        <w:top w:val="none" w:sz="0" w:space="0" w:color="auto"/>
        <w:left w:val="none" w:sz="0" w:space="0" w:color="auto"/>
        <w:bottom w:val="none" w:sz="0" w:space="0" w:color="auto"/>
        <w:right w:val="none" w:sz="0" w:space="0" w:color="auto"/>
      </w:divBdr>
    </w:div>
    <w:div w:id="1978797068">
      <w:bodyDiv w:val="1"/>
      <w:marLeft w:val="0"/>
      <w:marRight w:val="0"/>
      <w:marTop w:val="0"/>
      <w:marBottom w:val="0"/>
      <w:divBdr>
        <w:top w:val="none" w:sz="0" w:space="0" w:color="auto"/>
        <w:left w:val="none" w:sz="0" w:space="0" w:color="auto"/>
        <w:bottom w:val="none" w:sz="0" w:space="0" w:color="auto"/>
        <w:right w:val="none" w:sz="0" w:space="0" w:color="auto"/>
      </w:divBdr>
      <w:divsChild>
        <w:div w:id="1588229205">
          <w:marLeft w:val="0"/>
          <w:marRight w:val="0"/>
          <w:marTop w:val="0"/>
          <w:marBottom w:val="0"/>
          <w:divBdr>
            <w:top w:val="none" w:sz="0" w:space="0" w:color="auto"/>
            <w:left w:val="none" w:sz="0" w:space="0" w:color="auto"/>
            <w:bottom w:val="none" w:sz="0" w:space="0" w:color="auto"/>
            <w:right w:val="none" w:sz="0" w:space="0" w:color="auto"/>
          </w:divBdr>
        </w:div>
        <w:div w:id="174342464">
          <w:marLeft w:val="0"/>
          <w:marRight w:val="0"/>
          <w:marTop w:val="0"/>
          <w:marBottom w:val="0"/>
          <w:divBdr>
            <w:top w:val="none" w:sz="0" w:space="0" w:color="auto"/>
            <w:left w:val="none" w:sz="0" w:space="0" w:color="auto"/>
            <w:bottom w:val="none" w:sz="0" w:space="0" w:color="auto"/>
            <w:right w:val="none" w:sz="0" w:space="0" w:color="auto"/>
          </w:divBdr>
        </w:div>
        <w:div w:id="1651590532">
          <w:marLeft w:val="0"/>
          <w:marRight w:val="0"/>
          <w:marTop w:val="0"/>
          <w:marBottom w:val="0"/>
          <w:divBdr>
            <w:top w:val="none" w:sz="0" w:space="0" w:color="auto"/>
            <w:left w:val="none" w:sz="0" w:space="0" w:color="auto"/>
            <w:bottom w:val="none" w:sz="0" w:space="0" w:color="auto"/>
            <w:right w:val="none" w:sz="0" w:space="0" w:color="auto"/>
          </w:divBdr>
        </w:div>
        <w:div w:id="28801755">
          <w:marLeft w:val="0"/>
          <w:marRight w:val="0"/>
          <w:marTop w:val="0"/>
          <w:marBottom w:val="0"/>
          <w:divBdr>
            <w:top w:val="none" w:sz="0" w:space="0" w:color="auto"/>
            <w:left w:val="none" w:sz="0" w:space="0" w:color="auto"/>
            <w:bottom w:val="none" w:sz="0" w:space="0" w:color="auto"/>
            <w:right w:val="none" w:sz="0" w:space="0" w:color="auto"/>
          </w:divBdr>
        </w:div>
        <w:div w:id="1526551707">
          <w:marLeft w:val="0"/>
          <w:marRight w:val="0"/>
          <w:marTop w:val="0"/>
          <w:marBottom w:val="0"/>
          <w:divBdr>
            <w:top w:val="none" w:sz="0" w:space="0" w:color="auto"/>
            <w:left w:val="none" w:sz="0" w:space="0" w:color="auto"/>
            <w:bottom w:val="none" w:sz="0" w:space="0" w:color="auto"/>
            <w:right w:val="none" w:sz="0" w:space="0" w:color="auto"/>
          </w:divBdr>
        </w:div>
        <w:div w:id="1588154302">
          <w:marLeft w:val="0"/>
          <w:marRight w:val="0"/>
          <w:marTop w:val="0"/>
          <w:marBottom w:val="0"/>
          <w:divBdr>
            <w:top w:val="none" w:sz="0" w:space="0" w:color="auto"/>
            <w:left w:val="none" w:sz="0" w:space="0" w:color="auto"/>
            <w:bottom w:val="none" w:sz="0" w:space="0" w:color="auto"/>
            <w:right w:val="none" w:sz="0" w:space="0" w:color="auto"/>
          </w:divBdr>
        </w:div>
        <w:div w:id="1285310428">
          <w:marLeft w:val="0"/>
          <w:marRight w:val="0"/>
          <w:marTop w:val="0"/>
          <w:marBottom w:val="0"/>
          <w:divBdr>
            <w:top w:val="none" w:sz="0" w:space="0" w:color="auto"/>
            <w:left w:val="none" w:sz="0" w:space="0" w:color="auto"/>
            <w:bottom w:val="none" w:sz="0" w:space="0" w:color="auto"/>
            <w:right w:val="none" w:sz="0" w:space="0" w:color="auto"/>
          </w:divBdr>
        </w:div>
        <w:div w:id="1471551279">
          <w:marLeft w:val="0"/>
          <w:marRight w:val="0"/>
          <w:marTop w:val="0"/>
          <w:marBottom w:val="0"/>
          <w:divBdr>
            <w:top w:val="none" w:sz="0" w:space="0" w:color="auto"/>
            <w:left w:val="none" w:sz="0" w:space="0" w:color="auto"/>
            <w:bottom w:val="none" w:sz="0" w:space="0" w:color="auto"/>
            <w:right w:val="none" w:sz="0" w:space="0" w:color="auto"/>
          </w:divBdr>
        </w:div>
        <w:div w:id="46493674">
          <w:marLeft w:val="0"/>
          <w:marRight w:val="0"/>
          <w:marTop w:val="0"/>
          <w:marBottom w:val="0"/>
          <w:divBdr>
            <w:top w:val="none" w:sz="0" w:space="0" w:color="auto"/>
            <w:left w:val="none" w:sz="0" w:space="0" w:color="auto"/>
            <w:bottom w:val="none" w:sz="0" w:space="0" w:color="auto"/>
            <w:right w:val="none" w:sz="0" w:space="0" w:color="auto"/>
          </w:divBdr>
        </w:div>
        <w:div w:id="393243251">
          <w:marLeft w:val="0"/>
          <w:marRight w:val="0"/>
          <w:marTop w:val="0"/>
          <w:marBottom w:val="0"/>
          <w:divBdr>
            <w:top w:val="none" w:sz="0" w:space="0" w:color="auto"/>
            <w:left w:val="none" w:sz="0" w:space="0" w:color="auto"/>
            <w:bottom w:val="none" w:sz="0" w:space="0" w:color="auto"/>
            <w:right w:val="none" w:sz="0" w:space="0" w:color="auto"/>
          </w:divBdr>
        </w:div>
        <w:div w:id="1602644314">
          <w:marLeft w:val="0"/>
          <w:marRight w:val="0"/>
          <w:marTop w:val="0"/>
          <w:marBottom w:val="0"/>
          <w:divBdr>
            <w:top w:val="none" w:sz="0" w:space="0" w:color="auto"/>
            <w:left w:val="none" w:sz="0" w:space="0" w:color="auto"/>
            <w:bottom w:val="none" w:sz="0" w:space="0" w:color="auto"/>
            <w:right w:val="none" w:sz="0" w:space="0" w:color="auto"/>
          </w:divBdr>
        </w:div>
        <w:div w:id="1292247564">
          <w:marLeft w:val="0"/>
          <w:marRight w:val="0"/>
          <w:marTop w:val="0"/>
          <w:marBottom w:val="0"/>
          <w:divBdr>
            <w:top w:val="none" w:sz="0" w:space="0" w:color="auto"/>
            <w:left w:val="none" w:sz="0" w:space="0" w:color="auto"/>
            <w:bottom w:val="none" w:sz="0" w:space="0" w:color="auto"/>
            <w:right w:val="none" w:sz="0" w:space="0" w:color="auto"/>
          </w:divBdr>
        </w:div>
        <w:div w:id="1080639722">
          <w:marLeft w:val="0"/>
          <w:marRight w:val="0"/>
          <w:marTop w:val="0"/>
          <w:marBottom w:val="0"/>
          <w:divBdr>
            <w:top w:val="none" w:sz="0" w:space="0" w:color="auto"/>
            <w:left w:val="none" w:sz="0" w:space="0" w:color="auto"/>
            <w:bottom w:val="none" w:sz="0" w:space="0" w:color="auto"/>
            <w:right w:val="none" w:sz="0" w:space="0" w:color="auto"/>
          </w:divBdr>
        </w:div>
        <w:div w:id="1629899769">
          <w:marLeft w:val="0"/>
          <w:marRight w:val="0"/>
          <w:marTop w:val="0"/>
          <w:marBottom w:val="0"/>
          <w:divBdr>
            <w:top w:val="none" w:sz="0" w:space="0" w:color="auto"/>
            <w:left w:val="none" w:sz="0" w:space="0" w:color="auto"/>
            <w:bottom w:val="none" w:sz="0" w:space="0" w:color="auto"/>
            <w:right w:val="none" w:sz="0" w:space="0" w:color="auto"/>
          </w:divBdr>
        </w:div>
        <w:div w:id="853497843">
          <w:marLeft w:val="0"/>
          <w:marRight w:val="0"/>
          <w:marTop w:val="0"/>
          <w:marBottom w:val="0"/>
          <w:divBdr>
            <w:top w:val="none" w:sz="0" w:space="0" w:color="auto"/>
            <w:left w:val="none" w:sz="0" w:space="0" w:color="auto"/>
            <w:bottom w:val="none" w:sz="0" w:space="0" w:color="auto"/>
            <w:right w:val="none" w:sz="0" w:space="0" w:color="auto"/>
          </w:divBdr>
        </w:div>
        <w:div w:id="598566937">
          <w:marLeft w:val="0"/>
          <w:marRight w:val="0"/>
          <w:marTop w:val="0"/>
          <w:marBottom w:val="0"/>
          <w:divBdr>
            <w:top w:val="none" w:sz="0" w:space="0" w:color="auto"/>
            <w:left w:val="none" w:sz="0" w:space="0" w:color="auto"/>
            <w:bottom w:val="none" w:sz="0" w:space="0" w:color="auto"/>
            <w:right w:val="none" w:sz="0" w:space="0" w:color="auto"/>
          </w:divBdr>
        </w:div>
        <w:div w:id="54449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60BB46-04BA-4CB8-85E5-956A6F06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274A7-28F3-47BA-ABF3-3B9E16BD7A85}">
  <ds:schemaRefs>
    <ds:schemaRef ds:uri="http://schemas.microsoft.com/sharepoint/v3/contenttype/forms"/>
  </ds:schemaRefs>
</ds:datastoreItem>
</file>

<file path=customXml/itemProps3.xml><?xml version="1.0" encoding="utf-8"?>
<ds:datastoreItem xmlns:ds="http://schemas.openxmlformats.org/officeDocument/2006/customXml" ds:itemID="{20DC68F1-4DAE-4651-8D01-F7773AE4D0BF}">
  <ds:schemaRefs>
    <ds:schemaRef ds:uri="http://schemas.openxmlformats.org/package/2006/metadata/core-properties"/>
    <ds:schemaRef ds:uri="http://schemas.microsoft.com/office/2006/documentManagement/types"/>
    <ds:schemaRef ds:uri="http://schemas.microsoft.com/office/infopath/2007/PartnerControls"/>
    <ds:schemaRef ds:uri="879a6e62-23c8-4734-be89-b1a1dd95b2e1"/>
    <ds:schemaRef ds:uri="http://purl.org/dc/elements/1.1/"/>
    <ds:schemaRef ds:uri="http://schemas.microsoft.com/office/2006/metadata/properties"/>
    <ds:schemaRef ds:uri="http://schemas.microsoft.com/sharepoint/v3"/>
    <ds:schemaRef ds:uri="http://purl.org/dc/terms/"/>
    <ds:schemaRef ds:uri="07dc9e49-d90e-46cd-8790-3ae28d568790"/>
    <ds:schemaRef ds:uri="http://www.w3.org/XML/1998/namespace"/>
    <ds:schemaRef ds:uri="http://purl.org/dc/dcmitype/"/>
  </ds:schemaRefs>
</ds:datastoreItem>
</file>

<file path=customXml/itemProps4.xml><?xml version="1.0" encoding="utf-8"?>
<ds:datastoreItem xmlns:ds="http://schemas.openxmlformats.org/officeDocument/2006/customXml" ds:itemID="{9331861E-68EF-4B29-A314-C31B43F2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Goyal, Avani</dc:creator>
  <cp:keywords/>
  <dc:description/>
  <cp:lastModifiedBy>Goyal, Avani</cp:lastModifiedBy>
  <cp:revision>10</cp:revision>
  <cp:lastPrinted>2019-06-28T14:37:00Z</cp:lastPrinted>
  <dcterms:created xsi:type="dcterms:W3CDTF">2019-07-15T05:57:00Z</dcterms:created>
  <dcterms:modified xsi:type="dcterms:W3CDTF">2019-09-06T20:57:00Z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